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after="360"/>
      </w:pPr>
    </w:p>
    <w:p>
      <w:pPr>
        <w:widowControl/>
      </w:pPr>
      <w:r>
        <w:rPr>
          <w:rFonts w:ascii="Montserrat" w:hAnsi="Montserrat"/>
          <w:b/>
          <w:color w:val="ED1B2E"/>
          <w:sz w:val="18"/>
        </w:rPr>
        <w:t>RESEARCH IA · BENCHMARK NACIONAL</w:t>
      </w:r>
    </w:p>
    <w:p>
      <w:pPr>
        <w:pStyle w:val="Title"/>
        <w:widowControl/>
        <w:spacing w:after="160"/>
      </w:pPr>
      <w:r>
        <w:rPr>
          <w:rFonts w:ascii="Montserrat" w:hAnsi="Montserrat"/>
        </w:rPr>
        <w:t>Programas de loyalty, rewards y gamificación en México</w:t>
      </w:r>
    </w:p>
    <w:p>
      <w:pPr>
        <w:pStyle w:val="Subtitle"/>
        <w:widowControl/>
        <w:spacing w:after="360"/>
      </w:pPr>
      <w:r>
        <w:rPr>
          <w:rFonts w:ascii="Montserrat" w:hAnsi="Montserrat"/>
        </w:rPr>
        <w:t>Corte ejecutivo de investigación de escritorio para orientar decisiones de AKRON</w:t>
      </w:r>
    </w:p>
    <w:p>
      <w:pPr>
        <w:spacing w:after="100"/>
        <w:widowControl/>
        <w:pBdr>
          <w:bottom w:val="single" w:sz="28" w:space="1" w:color="ED1B2E"/>
        </w:pBdr>
      </w:pPr>
    </w:p>
    <w:tbl>
      <w:tblPr>
        <w:tblW w:type="auto" w:w="0"/>
        <w:jc w:val="center"/>
        <w:tblLayout w:type="fixed"/>
        <w:tblLook w:firstColumn="1" w:firstRow="1" w:lastColumn="0" w:lastRow="0" w:noHBand="0" w:noVBand="1" w:val="04A0"/>
        <w:tblBorders>
          <w:top w:val="single" w:sz="5" w:color="D9E0EA"/>
          <w:left w:val="single" w:sz="5" w:color="D9E0EA"/>
          <w:bottom w:val="single" w:sz="5" w:color="D9E0EA"/>
          <w:right w:val="single" w:sz="5" w:color="D9E0EA"/>
          <w:insideH w:val="single" w:sz="5" w:color="D9E0EA"/>
          <w:insideV w:val="single" w:sz="5" w:color="D9E0EA"/>
        </w:tblBorders>
      </w:tblPr>
      <w:tblGrid>
        <w:gridCol w:w="2570"/>
        <w:gridCol w:w="2570"/>
        <w:gridCol w:w="2570"/>
        <w:gridCol w:w="2570"/>
      </w:tblGrid>
      <w:tr>
        <w:tc>
          <w:tcPr>
            <w:tcW w:type="dxa" w:w="2520"/>
            <w:shd w:fill="F4F6FA"/>
            <w:tcMar>
              <w:top w:w="90" w:type="dxa"/>
              <w:start w:w="75" w:type="dxa"/>
              <w:bottom w:w="90" w:type="dxa"/>
              <w:end w:w="75" w:type="dxa"/>
            </w:tcMar>
          </w:tcPr>
          <w:p>
            <w:pPr>
              <w:spacing w:after="20"/>
              <w:jc w:val="center"/>
            </w:pPr>
            <w:r/>
            <w:r>
              <w:rPr>
                <w:rFonts w:ascii="Montserrat" w:hAnsi="Montserrat"/>
                <w:b/>
                <w:color w:val="ED1B2E"/>
                <w:sz w:val="36"/>
              </w:rPr>
              <w:t>12</w:t>
            </w:r>
          </w:p>
          <w:p>
            <w:pPr>
              <w:spacing w:after="0"/>
              <w:jc w:val="center"/>
            </w:pPr>
            <w:r>
              <w:rPr>
                <w:rFonts w:ascii="Montserrat" w:hAnsi="Montserrat"/>
                <w:b/>
                <w:color w:val="6E7C96"/>
                <w:sz w:val="15"/>
              </w:rPr>
              <w:t>CASOS APROBADOS</w:t>
            </w:r>
          </w:p>
        </w:tc>
        <w:tc>
          <w:tcPr>
            <w:tcW w:type="dxa" w:w="2520"/>
            <w:shd w:fill="F4F6FA"/>
            <w:tcMar>
              <w:top w:w="90" w:type="dxa"/>
              <w:start w:w="75" w:type="dxa"/>
              <w:bottom w:w="90" w:type="dxa"/>
              <w:end w:w="75" w:type="dxa"/>
            </w:tcMar>
          </w:tcPr>
          <w:p>
            <w:pPr>
              <w:spacing w:after="20"/>
              <w:jc w:val="center"/>
            </w:pPr>
            <w:r/>
            <w:r>
              <w:rPr>
                <w:rFonts w:ascii="Montserrat" w:hAnsi="Montserrat"/>
                <w:b/>
                <w:color w:val="061B45"/>
                <w:sz w:val="36"/>
              </w:rPr>
              <w:t>31</w:t>
            </w:r>
          </w:p>
          <w:p>
            <w:pPr>
              <w:spacing w:after="0"/>
              <w:jc w:val="center"/>
            </w:pPr>
            <w:r>
              <w:rPr>
                <w:rFonts w:ascii="Montserrat" w:hAnsi="Montserrat"/>
                <w:b/>
                <w:color w:val="6E7C96"/>
                <w:sz w:val="15"/>
              </w:rPr>
              <w:t>CRITERIOS</w:t>
            </w:r>
          </w:p>
        </w:tc>
        <w:tc>
          <w:tcPr>
            <w:tcW w:type="dxa" w:w="2520"/>
            <w:shd w:fill="F4F6FA"/>
            <w:tcMar>
              <w:top w:w="90" w:type="dxa"/>
              <w:start w:w="75" w:type="dxa"/>
              <w:bottom w:w="90" w:type="dxa"/>
              <w:end w:w="75" w:type="dxa"/>
            </w:tcMar>
          </w:tcPr>
          <w:p>
            <w:pPr>
              <w:spacing w:after="20"/>
              <w:jc w:val="center"/>
            </w:pPr>
            <w:r/>
            <w:r>
              <w:rPr>
                <w:rFonts w:ascii="Montserrat" w:hAnsi="Montserrat"/>
                <w:b/>
                <w:color w:val="061B45"/>
                <w:sz w:val="36"/>
              </w:rPr>
              <w:t>372</w:t>
            </w:r>
          </w:p>
          <w:p>
            <w:pPr>
              <w:spacing w:after="0"/>
              <w:jc w:val="center"/>
            </w:pPr>
            <w:r>
              <w:rPr>
                <w:rFonts w:ascii="Montserrat" w:hAnsi="Montserrat"/>
                <w:b/>
                <w:color w:val="6E7C96"/>
                <w:sz w:val="15"/>
              </w:rPr>
              <w:t>EVALUACIONES</w:t>
            </w:r>
          </w:p>
        </w:tc>
        <w:tc>
          <w:tcPr>
            <w:tcW w:type="dxa" w:w="2520"/>
            <w:shd w:fill="F4F6FA"/>
            <w:tcMar>
              <w:top w:w="90" w:type="dxa"/>
              <w:start w:w="75" w:type="dxa"/>
              <w:bottom w:w="90" w:type="dxa"/>
              <w:end w:w="75" w:type="dxa"/>
            </w:tcMar>
          </w:tcPr>
          <w:p>
            <w:pPr>
              <w:spacing w:after="20"/>
              <w:jc w:val="center"/>
            </w:pPr>
            <w:r/>
            <w:r>
              <w:rPr>
                <w:rFonts w:ascii="Montserrat" w:hAnsi="Montserrat"/>
                <w:b/>
                <w:color w:val="061B45"/>
                <w:sz w:val="36"/>
              </w:rPr>
              <w:t>493</w:t>
            </w:r>
          </w:p>
          <w:p>
            <w:pPr>
              <w:spacing w:after="0"/>
              <w:jc w:val="center"/>
            </w:pPr>
            <w:r>
              <w:rPr>
                <w:rFonts w:ascii="Montserrat" w:hAnsi="Montserrat"/>
                <w:b/>
                <w:color w:val="6E7C96"/>
                <w:sz w:val="15"/>
              </w:rPr>
              <w:t>RESEÑAS</w:t>
            </w:r>
          </w:p>
        </w:tc>
      </w:tr>
    </w:tbl>
    <w:p>
      <w:pPr>
        <w:widowControl/>
        <w:spacing w:after="0"/>
      </w:pPr>
    </w:p>
    <w:p>
      <w:pPr>
        <w:widowControl/>
        <w:spacing w:after="320"/>
      </w:pPr>
    </w:p>
    <w:p>
      <w:pPr>
        <w:pStyle w:val="Heading1"/>
        <w:widowControl/>
      </w:pPr>
      <w:r>
        <w:rPr>
          <w:rFonts w:ascii="Montserrat" w:hAnsi="Montserrat"/>
        </w:rPr>
        <w:t>Qué contiene este documento</w:t>
      </w:r>
    </w:p>
    <w:p>
      <w:pPr>
        <w:widowControl/>
        <w:spacing w:after="80"/>
      </w:pPr>
      <w:r>
        <w:rPr>
          <w:rFonts w:ascii="Montserrat" w:hAnsi="Montserrat"/>
          <w:color w:val="172033"/>
          <w:sz w:val="18"/>
        </w:rPr>
        <w:t>Una lectura ejecutiva y trazable del bloque nacional aprobado: estado de cada caso, matriz comparable, patrones de reseñas, aprendizajes transferibles y el handoff de validación para Human Lab.</w:t>
      </w:r>
    </w:p>
    <w:p>
      <w:pPr>
        <w:widowControl/>
        <w:spacing w:after="80"/>
      </w:pPr>
      <w:r>
        <w:rPr>
          <w:rFonts w:ascii="Montserrat" w:hAnsi="Montserrat"/>
          <w:b/>
          <w:color w:val="061B45"/>
          <w:sz w:val="18"/>
        </w:rPr>
        <w:t>Las calificaciones técnicas</w:t>
      </w:r>
      <w:r>
        <w:rPr>
          <w:rFonts w:ascii="Montserrat" w:hAnsi="Montserrat"/>
          <w:color w:val="172033"/>
          <w:sz w:val="18"/>
        </w:rPr>
        <w:t xml:space="preserve"> se conservan como hipótesis internas para dirigir pruebas. En este corte, la comparación se presenta como una lectura por capacidades. Las conclusiones comparativas finales se consolidarán después de observar journeys reales, corroborar reglas dudosas, completar el Human Lab y sumar el análisis estratégico.</w:t>
      </w:r>
    </w:p>
    <w:p>
      <w:pPr>
        <w:widowControl/>
        <w:spacing w:before="360"/>
      </w:pPr>
      <w:r>
        <w:rPr>
          <w:rFonts w:ascii="Montserrat" w:hAnsi="Montserrat"/>
          <w:b/>
          <w:color w:val="6E7C96"/>
          <w:sz w:val="18"/>
        </w:rPr>
        <w:t>Fecha de corte  ·  19 de octubre de 2026</w:t>
      </w:r>
    </w:p>
    <w:p>
      <w:pPr>
        <w:widowControl/>
      </w:pPr>
      <w:r>
        <w:rPr>
          <w:rFonts w:ascii="Montserrat" w:hAnsi="Montserrat"/>
          <w:color w:val="6E7C96"/>
          <w:sz w:val="18"/>
        </w:rPr>
        <w:t>Thinking Group Lab  ·  Documento de trabajo del proyecto AKRON</w:t>
      </w:r>
    </w:p>
    <w:p>
      <w:pPr>
        <w:widowControl/>
      </w:pPr>
      <w:r>
        <w:rPr>
          <w:rFonts w:ascii="Montserrat" w:hAnsi="Montserrat"/>
        </w:rPr>
        <w:br w:type="page"/>
      </w:r>
    </w:p>
    <w:p>
      <w:pPr>
        <w:widowControl/>
        <w:spacing w:after="40"/>
      </w:pPr>
      <w:r>
        <w:rPr>
          <w:rFonts w:ascii="Montserrat" w:hAnsi="Montserrat"/>
          <w:b/>
          <w:color w:val="ED1B2E"/>
          <w:sz w:val="16"/>
        </w:rPr>
        <w:t>01 · LECTURA DIRECTIVA</w:t>
      </w:r>
    </w:p>
    <w:p>
      <w:pPr>
        <w:pStyle w:val="Title"/>
        <w:widowControl/>
        <w:spacing w:after="80"/>
      </w:pPr>
      <w:r>
        <w:rPr>
          <w:rFonts w:ascii="Montserrat" w:hAnsi="Montserrat"/>
        </w:rPr>
        <w:t>Resumen ejecutivo</w:t>
      </w:r>
    </w:p>
    <w:p>
      <w:pPr>
        <w:pStyle w:val="Subtitle"/>
        <w:widowControl/>
      </w:pPr>
      <w:r>
        <w:rPr>
          <w:rFonts w:ascii="Montserrat" w:hAnsi="Montserrat"/>
        </w:rPr>
        <w:t>El corte confirma la muestra, descubre patrones de decisión y deja claramente identificadas las validaciones pendientes.</w:t>
      </w:r>
    </w:p>
    <w:p>
      <w:pPr>
        <w:spacing w:after="100"/>
        <w:widowControl/>
        <w:pBdr>
          <w:bottom w:val="single" w:sz="20" w:space="1" w:color="ED1B2E"/>
        </w:pBdr>
      </w:pPr>
    </w:p>
    <w:tbl>
      <w:tblPr>
        <w:tblW w:type="auto" w:w="0"/>
        <w:jc w:val="center"/>
        <w:tblLayout w:type="fixed"/>
        <w:tblLook w:firstColumn="1" w:firstRow="1" w:lastColumn="0" w:lastRow="0" w:noHBand="0" w:noVBand="1" w:val="04A0"/>
        <w:tblBorders>
          <w:top w:val="single" w:sz="5" w:color="D9E0EA"/>
          <w:left w:val="single" w:sz="5" w:color="D9E0EA"/>
          <w:bottom w:val="single" w:sz="5" w:color="D9E0EA"/>
          <w:right w:val="single" w:sz="5" w:color="D9E0EA"/>
          <w:insideH w:val="single" w:sz="5" w:color="D9E0EA"/>
          <w:insideV w:val="single" w:sz="5" w:color="D9E0EA"/>
        </w:tblBorders>
      </w:tblPr>
      <w:tblGrid>
        <w:gridCol w:w="2570"/>
        <w:gridCol w:w="2570"/>
        <w:gridCol w:w="2570"/>
        <w:gridCol w:w="2570"/>
      </w:tblGrid>
      <w:tr>
        <w:tc>
          <w:tcPr>
            <w:tcW w:type="dxa" w:w="2520"/>
            <w:shd w:fill="F4F6FA"/>
            <w:tcMar>
              <w:top w:w="90" w:type="dxa"/>
              <w:start w:w="75" w:type="dxa"/>
              <w:bottom w:w="90" w:type="dxa"/>
              <w:end w:w="75" w:type="dxa"/>
            </w:tcMar>
          </w:tcPr>
          <w:p>
            <w:pPr>
              <w:spacing w:after="20"/>
              <w:jc w:val="center"/>
            </w:pPr>
            <w:r/>
            <w:r>
              <w:rPr>
                <w:rFonts w:ascii="Montserrat" w:hAnsi="Montserrat"/>
                <w:b/>
                <w:color w:val="ED1B2E"/>
                <w:sz w:val="36"/>
              </w:rPr>
              <w:t>12</w:t>
            </w:r>
          </w:p>
          <w:p>
            <w:pPr>
              <w:spacing w:after="0"/>
              <w:jc w:val="center"/>
            </w:pPr>
            <w:r>
              <w:rPr>
                <w:rFonts w:ascii="Montserrat" w:hAnsi="Montserrat"/>
                <w:b/>
                <w:color w:val="6E7C96"/>
                <w:sz w:val="15"/>
              </w:rPr>
              <w:t>CASOS CONGELADOS</w:t>
            </w:r>
          </w:p>
        </w:tc>
        <w:tc>
          <w:tcPr>
            <w:tcW w:type="dxa" w:w="2520"/>
            <w:shd w:fill="F4F6FA"/>
            <w:tcMar>
              <w:top w:w="90" w:type="dxa"/>
              <w:start w:w="75" w:type="dxa"/>
              <w:bottom w:w="90" w:type="dxa"/>
              <w:end w:w="75" w:type="dxa"/>
            </w:tcMar>
          </w:tcPr>
          <w:p>
            <w:pPr>
              <w:spacing w:after="20"/>
              <w:jc w:val="center"/>
            </w:pPr>
            <w:r/>
            <w:r>
              <w:rPr>
                <w:rFonts w:ascii="Montserrat" w:hAnsi="Montserrat"/>
                <w:b/>
                <w:color w:val="061B45"/>
                <w:sz w:val="36"/>
              </w:rPr>
              <w:t>7·3·2</w:t>
            </w:r>
          </w:p>
          <w:p>
            <w:pPr>
              <w:spacing w:after="0"/>
              <w:jc w:val="center"/>
            </w:pPr>
            <w:r>
              <w:rPr>
                <w:rFonts w:ascii="Montserrat" w:hAnsi="Montserrat"/>
                <w:b/>
                <w:color w:val="6E7C96"/>
                <w:sz w:val="15"/>
              </w:rPr>
              <w:t>FUEL · ADYACENTES · EV</w:t>
            </w:r>
          </w:p>
        </w:tc>
        <w:tc>
          <w:tcPr>
            <w:tcW w:type="dxa" w:w="2520"/>
            <w:shd w:fill="F4F6FA"/>
            <w:tcMar>
              <w:top w:w="90" w:type="dxa"/>
              <w:start w:w="75" w:type="dxa"/>
              <w:bottom w:w="90" w:type="dxa"/>
              <w:end w:w="75" w:type="dxa"/>
            </w:tcMar>
          </w:tcPr>
          <w:p>
            <w:pPr>
              <w:spacing w:after="20"/>
              <w:jc w:val="center"/>
            </w:pPr>
            <w:r/>
            <w:r>
              <w:rPr>
                <w:rFonts w:ascii="Montserrat" w:hAnsi="Montserrat"/>
                <w:b/>
                <w:color w:val="061B45"/>
                <w:sz w:val="36"/>
              </w:rPr>
              <w:t>493</w:t>
            </w:r>
          </w:p>
          <w:p>
            <w:pPr>
              <w:spacing w:after="0"/>
              <w:jc w:val="center"/>
            </w:pPr>
            <w:r>
              <w:rPr>
                <w:rFonts w:ascii="Montserrat" w:hAnsi="Montserrat"/>
                <w:b/>
                <w:color w:val="6E7C96"/>
                <w:sz w:val="15"/>
              </w:rPr>
              <w:t>RESEÑAS CODIFICADAS</w:t>
            </w:r>
          </w:p>
        </w:tc>
        <w:tc>
          <w:tcPr>
            <w:tcW w:type="dxa" w:w="2520"/>
            <w:shd w:fill="F4F6FA"/>
            <w:tcMar>
              <w:top w:w="90" w:type="dxa"/>
              <w:start w:w="75" w:type="dxa"/>
              <w:bottom w:w="90" w:type="dxa"/>
              <w:end w:w="75" w:type="dxa"/>
            </w:tcMar>
          </w:tcPr>
          <w:p>
            <w:pPr>
              <w:spacing w:after="20"/>
              <w:jc w:val="center"/>
            </w:pPr>
            <w:r/>
            <w:r>
              <w:rPr>
                <w:rFonts w:ascii="Montserrat" w:hAnsi="Montserrat"/>
                <w:b/>
                <w:color w:val="061B45"/>
                <w:sz w:val="36"/>
              </w:rPr>
              <w:t>10</w:t>
            </w:r>
          </w:p>
          <w:p>
            <w:pPr>
              <w:spacing w:after="0"/>
              <w:jc w:val="center"/>
            </w:pPr>
            <w:r>
              <w:rPr>
                <w:rFonts w:ascii="Montserrat" w:hAnsi="Montserrat"/>
                <w:b/>
                <w:color w:val="6E7C96"/>
                <w:sz w:val="15"/>
              </w:rPr>
              <w:t>JOURNEYS PRIORIZADOS</w:t>
            </w:r>
          </w:p>
        </w:tc>
      </w:tr>
    </w:tbl>
    <w:p>
      <w:pPr>
        <w:widowControl/>
        <w:spacing w:after="0"/>
      </w:pPr>
    </w:p>
    <w:p>
      <w:pPr>
        <w:pStyle w:val="Heading1"/>
        <w:widowControl/>
      </w:pPr>
      <w:r>
        <w:rPr>
          <w:rFonts w:ascii="Montserrat" w:hAnsi="Montserrat"/>
        </w:rPr>
        <w:t>Conclusión central</w:t>
      </w:r>
    </w:p>
    <w:p>
      <w:pPr>
        <w:widowControl/>
        <w:spacing w:after="80"/>
      </w:pPr>
      <w:r>
        <w:rPr>
          <w:rFonts w:ascii="Montserrat" w:hAnsi="Montserrat"/>
          <w:color w:val="172033"/>
          <w:sz w:val="18"/>
        </w:rPr>
        <w:t>La oportunidad para AKRON no es copiar un programa de puntos. Es integrar identificación, recompensa, pago, factura, ubicación y servicio en una experiencia confiable, con valor visible desde la primera interacción y una progresión que premie recurrencia real.</w:t>
      </w:r>
    </w:p>
    <w:p>
      <w:pPr>
        <w:pStyle w:val="Heading1"/>
        <w:widowControl/>
      </w:pPr>
      <w:r>
        <w:rPr>
          <w:rFonts w:ascii="Montserrat" w:hAnsi="Montserrat"/>
        </w:rPr>
        <w:t>Cinco decisiones que ya orienta el research</w:t>
      </w:r>
    </w:p>
    <w:p>
      <w:pPr>
        <w:pStyle w:val="ListBullet"/>
        <w:widowControl/>
        <w:spacing w:after="40"/>
        <w:ind w:left="346" w:hanging="173"/>
      </w:pPr>
      <w:r>
        <w:rPr>
          <w:rFonts w:ascii="Montserrat" w:hAnsi="Montserrat"/>
          <w:color w:val="172033"/>
          <w:sz w:val="18"/>
        </w:rPr>
        <w:t>Hacer visible el valor antes de cargar: equivalencia, vigencia y siguiente recompensa en una sola vista.</w:t>
      </w:r>
    </w:p>
    <w:p>
      <w:pPr>
        <w:pStyle w:val="ListBullet"/>
        <w:widowControl/>
        <w:spacing w:after="40"/>
        <w:ind w:left="346" w:hanging="173"/>
      </w:pPr>
      <w:r>
        <w:rPr>
          <w:rFonts w:ascii="Montserrat" w:hAnsi="Montserrat"/>
          <w:color w:val="172033"/>
          <w:sz w:val="18"/>
        </w:rPr>
        <w:t>Diseñar la acreditación como parte del producto: automática, inmediata y con recuperación clara si algo falla.</w:t>
      </w:r>
    </w:p>
    <w:p>
      <w:pPr>
        <w:pStyle w:val="ListBullet"/>
        <w:widowControl/>
        <w:spacing w:after="40"/>
        <w:ind w:left="346" w:hanging="173"/>
      </w:pPr>
      <w:r>
        <w:rPr>
          <w:rFonts w:ascii="Montserrat" w:hAnsi="Montserrat"/>
          <w:color w:val="172033"/>
          <w:sz w:val="18"/>
        </w:rPr>
        <w:t>Conectar combustible con conveniencia y servicios para elevar frecuencia, datos y ocasiones de uso.</w:t>
      </w:r>
    </w:p>
    <w:p>
      <w:pPr>
        <w:pStyle w:val="ListBullet"/>
        <w:widowControl/>
        <w:spacing w:after="40"/>
        <w:ind w:left="346" w:hanging="173"/>
      </w:pPr>
      <w:r>
        <w:rPr>
          <w:rFonts w:ascii="Montserrat" w:hAnsi="Montserrat"/>
          <w:color w:val="172033"/>
          <w:sz w:val="18"/>
        </w:rPr>
        <w:t>Usar progreso corto y recompensas disponibles; evitar que inventario, operador o reglas ocultas rompan la promesa.</w:t>
      </w:r>
    </w:p>
    <w:p>
      <w:pPr>
        <w:pStyle w:val="ListBullet"/>
        <w:widowControl/>
        <w:spacing w:after="40"/>
        <w:ind w:left="346" w:hanging="173"/>
      </w:pPr>
      <w:r>
        <w:rPr>
          <w:rFonts w:ascii="Montserrat" w:hAnsi="Montserrat"/>
          <w:color w:val="172033"/>
          <w:sz w:val="18"/>
        </w:rPr>
        <w:t>Construir loyalty sobre utilidades cotidianas —pago, factura, historial, localizador y soporte— antes de añadir gamificación.</w:t>
      </w:r>
    </w:p>
    <w:p>
      <w:pPr>
        <w:pStyle w:val="Heading1"/>
        <w:widowControl/>
      </w:pPr>
      <w:r>
        <w:rPr>
          <w:rFonts w:ascii="Montserrat" w:hAnsi="Montserrat"/>
        </w:rPr>
        <w:t>Lectura comparativa</w:t>
      </w:r>
    </w:p>
    <w:p>
      <w:pPr>
        <w:widowControl/>
        <w:spacing w:after="80"/>
      </w:pPr>
      <w:r>
        <w:rPr>
          <w:rFonts w:ascii="Montserrat" w:hAnsi="Montserrat"/>
          <w:color w:val="172033"/>
          <w:sz w:val="18"/>
        </w:rPr>
        <w:t>Los referentes adyacentes aportan patrones maduros de valor, niveles, ecosistema y personalización. Sevenly ofrece una referencia cercana a estación + tienda; Vemo, un journey EV integral con un programa temporal y selectivo; Evergo, el control de utilidad digital sin loyalty. Los casos directos de combustible exponen fricciones críticas de acreditación, transparencia, inventario y facturación.</w:t>
      </w:r>
    </w:p>
    <w:p>
      <w:pPr>
        <w:widowControl/>
        <w:spacing w:after="80"/>
      </w:pPr>
      <w:r>
        <w:rPr>
          <w:rFonts w:ascii="Montserrat" w:hAnsi="Montserrat"/>
          <w:b/>
          <w:color w:val="061B45"/>
          <w:sz w:val="18"/>
        </w:rPr>
        <w:t>Importante.</w:t>
      </w:r>
      <w:r>
        <w:rPr>
          <w:rFonts w:ascii="Montserrat" w:hAnsi="Montserrat"/>
          <w:color w:val="172033"/>
          <w:sz w:val="18"/>
        </w:rPr>
        <w:t xml:space="preserve"> En esta etapa no se ordenan las marcas. Starbucks, por ejemplo, muestra una arquitectura de loyalty madura y al mismo tiempo una señal negativa relevante en reseñas recientes. Por eso capacidades, confianza y experiencia observada se reportan por separado.</w:t>
      </w:r>
    </w:p>
    <w:p>
      <w:pPr>
        <w:widowControl/>
      </w:pPr>
      <w:r>
        <w:rPr>
          <w:rFonts w:ascii="Montserrat" w:hAnsi="Montserrat"/>
        </w:rPr>
        <w:br w:type="page"/>
      </w:r>
    </w:p>
    <w:p>
      <w:pPr>
        <w:widowControl/>
        <w:spacing w:after="40"/>
      </w:pPr>
      <w:r>
        <w:rPr>
          <w:rFonts w:ascii="Montserrat" w:hAnsi="Montserrat"/>
          <w:b/>
          <w:color w:val="ED1B2E"/>
          <w:sz w:val="16"/>
        </w:rPr>
        <w:t>02 · MUESTRA</w:t>
      </w:r>
    </w:p>
    <w:p>
      <w:pPr>
        <w:pStyle w:val="Title"/>
        <w:widowControl/>
        <w:spacing w:after="80"/>
      </w:pPr>
      <w:r>
        <w:rPr>
          <w:rFonts w:ascii="Montserrat" w:hAnsi="Montserrat"/>
        </w:rPr>
        <w:t>Muestra nacional aprobada y control de alcance</w:t>
      </w:r>
    </w:p>
    <w:p>
      <w:pPr>
        <w:pStyle w:val="Subtitle"/>
        <w:widowControl/>
      </w:pPr>
      <w:r>
        <w:rPr>
          <w:rFonts w:ascii="Montserrat" w:hAnsi="Montserrat"/>
        </w:rPr>
        <w:t>Se preservan exactamente 12 casos. AKRON App permanece como Caso 0, fuera de la comparación competitiva.</w:t>
      </w:r>
    </w:p>
    <w:p>
      <w:pPr>
        <w:spacing w:after="100"/>
        <w:widowControl/>
        <w:pBdr>
          <w:bottom w:val="single" w:sz="20" w:space="1" w:color="ED1B2E"/>
        </w:pBdr>
      </w:pPr>
    </w:p>
    <w:tbl>
      <w:tblPr>
        <w:tblW w:type="auto" w:w="0"/>
        <w:jc w:val="center"/>
        <w:tblLayout w:type="fixed"/>
        <w:tblLook w:firstColumn="1" w:firstRow="1" w:lastColumn="0" w:lastRow="0" w:noHBand="0" w:noVBand="1" w:val="04A0"/>
        <w:tblBorders>
          <w:top w:val="single" w:sz="5" w:color="D9E0EA"/>
          <w:left w:val="single" w:sz="5" w:color="D9E0EA"/>
          <w:bottom w:val="single" w:sz="5" w:color="D9E0EA"/>
          <w:right w:val="single" w:sz="5" w:color="D9E0EA"/>
          <w:insideH w:val="single" w:sz="5" w:color="D9E0EA"/>
          <w:insideV w:val="single" w:sz="5" w:color="D9E0EA"/>
        </w:tblBorders>
      </w:tblPr>
      <w:tblGrid>
        <w:gridCol w:w="2570"/>
        <w:gridCol w:w="2570"/>
        <w:gridCol w:w="2570"/>
        <w:gridCol w:w="2570"/>
      </w:tblGrid>
      <w:tr>
        <w:trPr>
          <w:cantSplit/>
          <w:tblHeader w:val="true"/>
        </w:trPr>
        <w:tc>
          <w:tcPr>
            <w:tcW w:type="dxa" w:w="792"/>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5"/>
              </w:rPr>
              <w:t>ID</w:t>
            </w:r>
          </w:p>
        </w:tc>
        <w:tc>
          <w:tcPr>
            <w:tcW w:type="dxa" w:w="3672"/>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5"/>
              </w:rPr>
              <w:t>CASO</w:t>
            </w:r>
          </w:p>
        </w:tc>
        <w:tc>
          <w:tcPr>
            <w:tcW w:type="dxa" w:w="2232"/>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5"/>
              </w:rPr>
              <w:t>CLASIFICACIÓN</w:t>
            </w:r>
          </w:p>
        </w:tc>
        <w:tc>
          <w:tcPr>
            <w:tcW w:type="dxa" w:w="3312"/>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5"/>
              </w:rPr>
              <w:t>ESTADO DEL CORTE</w:t>
            </w:r>
          </w:p>
        </w:tc>
      </w:tr>
      <w:tr>
        <w:trPr>
          <w:cantSplit/>
        </w:trPr>
        <w:tc>
          <w:tcPr>
            <w:tcW w:type="dxa" w:w="79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MX-01</w:t>
            </w:r>
          </w:p>
        </w:tc>
        <w:tc>
          <w:tcPr>
            <w:tcW w:type="dxa" w:w="367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Escudería G500 / Mi App G500</w:t>
            </w:r>
          </w:p>
        </w:tc>
        <w:tc>
          <w:tcPr>
            <w:tcW w:type="dxa" w:w="223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Combustible</w:t>
            </w:r>
          </w:p>
        </w:tc>
        <w:tc>
          <w:tcPr>
            <w:tcW w:type="dxa" w:w="331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Activo</w:t>
            </w:r>
          </w:p>
        </w:tc>
      </w:tr>
      <w:tr>
        <w:trPr>
          <w:cantSplit/>
        </w:trPr>
        <w:tc>
          <w:tcPr>
            <w:tcW w:type="dxa" w:w="79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MX-02</w:t>
            </w:r>
          </w:p>
        </w:tc>
        <w:tc>
          <w:tcPr>
            <w:tcW w:type="dxa" w:w="367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BPme Rewards México</w:t>
            </w:r>
          </w:p>
        </w:tc>
        <w:tc>
          <w:tcPr>
            <w:tcW w:type="dxa" w:w="223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Combustible</w:t>
            </w:r>
          </w:p>
        </w:tc>
        <w:tc>
          <w:tcPr>
            <w:tcW w:type="dxa" w:w="331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Operativo 2026; reglas base por validar</w:t>
            </w:r>
          </w:p>
        </w:tc>
      </w:tr>
      <w:tr>
        <w:trPr>
          <w:cantSplit/>
        </w:trPr>
        <w:tc>
          <w:tcPr>
            <w:tcW w:type="dxa" w:w="79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MX-03</w:t>
            </w:r>
          </w:p>
        </w:tc>
        <w:tc>
          <w:tcPr>
            <w:tcW w:type="dxa" w:w="367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Sevenly / Petro Seven + 7-Eleven</w:t>
            </w:r>
          </w:p>
        </w:tc>
        <w:tc>
          <w:tcPr>
            <w:tcW w:type="dxa" w:w="223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Combustible + conveniencia</w:t>
            </w:r>
          </w:p>
        </w:tc>
        <w:tc>
          <w:tcPr>
            <w:tcW w:type="dxa" w:w="331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Activo</w:t>
            </w:r>
          </w:p>
        </w:tc>
      </w:tr>
      <w:tr>
        <w:trPr>
          <w:cantSplit/>
        </w:trPr>
        <w:tc>
          <w:tcPr>
            <w:tcW w:type="dxa" w:w="79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MX-04</w:t>
            </w:r>
          </w:p>
        </w:tc>
        <w:tc>
          <w:tcPr>
            <w:tcW w:type="dxa" w:w="367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Spin Premia / OXXO GAS</w:t>
            </w:r>
          </w:p>
        </w:tc>
        <w:tc>
          <w:tcPr>
            <w:tcW w:type="dxa" w:w="223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Conveniencia + combustible</w:t>
            </w:r>
          </w:p>
        </w:tc>
        <w:tc>
          <w:tcPr>
            <w:tcW w:type="dxa" w:w="331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Activo; acumulación/redención en gas descontinuada</w:t>
            </w:r>
          </w:p>
        </w:tc>
      </w:tr>
      <w:tr>
        <w:trPr>
          <w:cantSplit/>
        </w:trPr>
        <w:tc>
          <w:tcPr>
            <w:tcW w:type="dxa" w:w="79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MX-05</w:t>
            </w:r>
          </w:p>
        </w:tc>
        <w:tc>
          <w:tcPr>
            <w:tcW w:type="dxa" w:w="367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Yo Elijo Hidrosina / App Hidrosina</w:t>
            </w:r>
          </w:p>
        </w:tc>
        <w:tc>
          <w:tcPr>
            <w:tcW w:type="dxa" w:w="223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Combustible</w:t>
            </w:r>
          </w:p>
        </w:tc>
        <w:tc>
          <w:tcPr>
            <w:tcW w:type="dxa" w:w="331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App activa; Yo Elijo por validar</w:t>
            </w:r>
          </w:p>
        </w:tc>
      </w:tr>
      <w:tr>
        <w:trPr>
          <w:cantSplit/>
        </w:trPr>
        <w:tc>
          <w:tcPr>
            <w:tcW w:type="dxa" w:w="79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MX-06</w:t>
            </w:r>
          </w:p>
        </w:tc>
        <w:tc>
          <w:tcPr>
            <w:tcW w:type="dxa" w:w="367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Rendichicas / Rendipuntos</w:t>
            </w:r>
          </w:p>
        </w:tc>
        <w:tc>
          <w:tcPr>
            <w:tcW w:type="dxa" w:w="223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Combustible regional</w:t>
            </w:r>
          </w:p>
        </w:tc>
        <w:tc>
          <w:tcPr>
            <w:tcW w:type="dxa" w:w="331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Activo</w:t>
            </w:r>
          </w:p>
        </w:tc>
      </w:tr>
      <w:tr>
        <w:trPr>
          <w:cantSplit/>
        </w:trPr>
        <w:tc>
          <w:tcPr>
            <w:tcW w:type="dxa" w:w="79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MX-07</w:t>
            </w:r>
          </w:p>
        </w:tc>
        <w:tc>
          <w:tcPr>
            <w:tcW w:type="dxa" w:w="367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Mobil México / Reto Mobil</w:t>
            </w:r>
          </w:p>
        </w:tc>
        <w:tc>
          <w:tcPr>
            <w:tcW w:type="dxa" w:w="223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Combustible</w:t>
            </w:r>
          </w:p>
        </w:tc>
        <w:tc>
          <w:tcPr>
            <w:tcW w:type="dxa" w:w="331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Activo</w:t>
            </w:r>
          </w:p>
        </w:tc>
      </w:tr>
      <w:tr>
        <w:trPr>
          <w:cantSplit/>
        </w:trPr>
        <w:tc>
          <w:tcPr>
            <w:tcW w:type="dxa" w:w="79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MX-08</w:t>
            </w:r>
          </w:p>
        </w:tc>
        <w:tc>
          <w:tcPr>
            <w:tcW w:type="dxa" w:w="367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Club Cinépolis</w:t>
            </w:r>
          </w:p>
        </w:tc>
        <w:tc>
          <w:tcPr>
            <w:tcW w:type="dxa" w:w="223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Referente adyacente</w:t>
            </w:r>
          </w:p>
        </w:tc>
        <w:tc>
          <w:tcPr>
            <w:tcW w:type="dxa" w:w="331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Activo</w:t>
            </w:r>
          </w:p>
        </w:tc>
      </w:tr>
      <w:tr>
        <w:trPr>
          <w:cantSplit/>
        </w:trPr>
        <w:tc>
          <w:tcPr>
            <w:tcW w:type="dxa" w:w="79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MX-09</w:t>
            </w:r>
          </w:p>
        </w:tc>
        <w:tc>
          <w:tcPr>
            <w:tcW w:type="dxa" w:w="367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Starbucks Rewards México</w:t>
            </w:r>
          </w:p>
        </w:tc>
        <w:tc>
          <w:tcPr>
            <w:tcW w:type="dxa" w:w="223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Referente adyacente</w:t>
            </w:r>
          </w:p>
        </w:tc>
        <w:tc>
          <w:tcPr>
            <w:tcW w:type="dxa" w:w="331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Activo</w:t>
            </w:r>
          </w:p>
        </w:tc>
      </w:tr>
      <w:tr>
        <w:trPr>
          <w:cantSplit/>
        </w:trPr>
        <w:tc>
          <w:tcPr>
            <w:tcW w:type="dxa" w:w="79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MX-10</w:t>
            </w:r>
          </w:p>
        </w:tc>
        <w:tc>
          <w:tcPr>
            <w:tcW w:type="dxa" w:w="367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Doters</w:t>
            </w:r>
          </w:p>
        </w:tc>
        <w:tc>
          <w:tcPr>
            <w:tcW w:type="dxa" w:w="223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Referente adyacente</w:t>
            </w:r>
          </w:p>
        </w:tc>
        <w:tc>
          <w:tcPr>
            <w:tcW w:type="dxa" w:w="331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Activo</w:t>
            </w:r>
          </w:p>
        </w:tc>
      </w:tr>
      <w:tr>
        <w:trPr>
          <w:cantSplit/>
        </w:trPr>
        <w:tc>
          <w:tcPr>
            <w:tcW w:type="dxa" w:w="79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MX-11</w:t>
            </w:r>
          </w:p>
        </w:tc>
        <w:tc>
          <w:tcPr>
            <w:tcW w:type="dxa" w:w="367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Vemo Watts</w:t>
            </w:r>
          </w:p>
        </w:tc>
        <w:tc>
          <w:tcPr>
            <w:tcW w:type="dxa" w:w="223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Electromovilidad</w:t>
            </w:r>
          </w:p>
        </w:tc>
        <w:tc>
          <w:tcPr>
            <w:tcW w:type="dxa" w:w="331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Activo; +Watts temporal y por invitación</w:t>
            </w:r>
          </w:p>
        </w:tc>
      </w:tr>
      <w:tr>
        <w:trPr>
          <w:cantSplit/>
        </w:trPr>
        <w:tc>
          <w:tcPr>
            <w:tcW w:type="dxa" w:w="79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MX-12</w:t>
            </w:r>
          </w:p>
        </w:tc>
        <w:tc>
          <w:tcPr>
            <w:tcW w:type="dxa" w:w="367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Evergo</w:t>
            </w:r>
          </w:p>
        </w:tc>
        <w:tc>
          <w:tcPr>
            <w:tcW w:type="dxa" w:w="223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Electromovilidad</w:t>
            </w:r>
          </w:p>
        </w:tc>
        <w:tc>
          <w:tcPr>
            <w:tcW w:type="dxa" w:w="331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Activo; sin loyalty vigente observado</w:t>
            </w:r>
          </w:p>
        </w:tc>
      </w:tr>
    </w:tbl>
    <w:p>
      <w:pPr>
        <w:widowControl/>
        <w:spacing w:after="0" w:before="0"/>
      </w:pPr>
    </w:p>
    <w:p>
      <w:pPr>
        <w:pStyle w:val="Heading1"/>
        <w:widowControl/>
      </w:pPr>
      <w:r>
        <w:rPr>
          <w:rFonts w:ascii="Montserrat" w:hAnsi="Montserrat"/>
        </w:rPr>
        <w:t>Decisión BP · Mobil · Aeroméxico</w:t>
      </w:r>
    </w:p>
    <w:p>
      <w:pPr>
        <w:widowControl/>
        <w:spacing w:after="80"/>
      </w:pPr>
      <w:r>
        <w:rPr>
          <w:rFonts w:ascii="Montserrat" w:hAnsi="Montserrat"/>
          <w:color w:val="172033"/>
          <w:sz w:val="18"/>
        </w:rPr>
        <w:t>Se activa la rama principal aprobada: BPme permanece porque existe evidencia de operación en 2026 y no hay aviso de cierre; Mobil entra como séptimo caso de combustible y sustituye a Aeroméxico. BPme conserva una etiqueta de validación obligatoria porque sus términos base no fueron recuperables.</w:t>
      </w:r>
    </w:p>
    <w:p>
      <w:pPr>
        <w:pStyle w:val="Heading2"/>
        <w:widowControl/>
      </w:pPr>
      <w:r>
        <w:rPr>
          <w:rFonts w:ascii="Montserrat" w:hAnsi="Montserrat"/>
        </w:rPr>
        <w:t>Sustituciones ya aplicadas</w:t>
      </w:r>
    </w:p>
    <w:p>
      <w:pPr>
        <w:widowControl/>
        <w:spacing w:after="80"/>
      </w:pPr>
      <w:r>
        <w:rPr>
          <w:rFonts w:ascii="Montserrat" w:hAnsi="Montserrat"/>
          <w:color w:val="172033"/>
          <w:sz w:val="18"/>
        </w:rPr>
        <w:t>Rendipuntos sustituye a Soriana YA · Vemo Watts sustituye a Uber One · Evergo sustituye a Meli+ · Mobil sustituye a Aeroméxico. Tesla y Repsol quedan como referencias internacionales; Quaker State y Roshfrans como contexto de categoría, no como casos puntuables.</w:t>
      </w:r>
    </w:p>
    <w:p>
      <w:pPr>
        <w:widowControl/>
      </w:pPr>
      <w:r>
        <w:rPr>
          <w:rFonts w:ascii="Montserrat" w:hAnsi="Montserrat"/>
        </w:rPr>
        <w:br w:type="page"/>
      </w:r>
    </w:p>
    <w:p>
      <w:pPr>
        <w:widowControl/>
        <w:spacing w:after="40"/>
      </w:pPr>
      <w:r>
        <w:rPr>
          <w:rFonts w:ascii="Montserrat" w:hAnsi="Montserrat"/>
          <w:b/>
          <w:color w:val="ED1B2E"/>
          <w:sz w:val="16"/>
        </w:rPr>
        <w:t>03 · MÉTODO</w:t>
      </w:r>
    </w:p>
    <w:p>
      <w:pPr>
        <w:pStyle w:val="Title"/>
        <w:widowControl/>
        <w:spacing w:after="80"/>
      </w:pPr>
      <w:r>
        <w:rPr>
          <w:rFonts w:ascii="Montserrat" w:hAnsi="Montserrat"/>
        </w:rPr>
        <w:t>Metodología y trazabilidad</w:t>
      </w:r>
    </w:p>
    <w:p>
      <w:pPr>
        <w:pStyle w:val="Subtitle"/>
        <w:widowControl/>
      </w:pPr>
      <w:r>
        <w:rPr>
          <w:rFonts w:ascii="Montserrat" w:hAnsi="Montserrat"/>
        </w:rPr>
        <w:t>La IA acelera extracción y normalización; cada regla comercial exige evidencia verificable y revisión humana.</w:t>
      </w:r>
    </w:p>
    <w:p>
      <w:pPr>
        <w:spacing w:after="100"/>
        <w:widowControl/>
        <w:pBdr>
          <w:bottom w:val="single" w:sz="20" w:space="1" w:color="ED1B2E"/>
        </w:pBdr>
      </w:pPr>
    </w:p>
    <w:p>
      <w:pPr>
        <w:pStyle w:val="Heading1"/>
        <w:widowControl/>
      </w:pPr>
      <w:r>
        <w:rPr>
          <w:rFonts w:ascii="Montserrat" w:hAnsi="Montserrat"/>
        </w:rPr>
        <w:t>Modelo aprobado</w:t>
      </w:r>
    </w:p>
    <w:tbl>
      <w:tblPr>
        <w:tblW w:type="auto" w:w="0"/>
        <w:jc w:val="center"/>
        <w:tblLayout w:type="fixed"/>
        <w:tblLook w:firstColumn="1" w:firstRow="1" w:lastColumn="0" w:lastRow="0" w:noHBand="0" w:noVBand="1" w:val="04A0"/>
        <w:tblBorders>
          <w:top w:val="single" w:sz="5" w:color="D9E0EA"/>
          <w:left w:val="single" w:sz="5" w:color="D9E0EA"/>
          <w:bottom w:val="single" w:sz="5" w:color="D9E0EA"/>
          <w:right w:val="single" w:sz="5" w:color="D9E0EA"/>
          <w:insideH w:val="single" w:sz="5" w:color="D9E0EA"/>
          <w:insideV w:val="single" w:sz="5" w:color="D9E0EA"/>
        </w:tblBorders>
      </w:tblPr>
      <w:tblGrid>
        <w:gridCol w:w="3427"/>
        <w:gridCol w:w="3427"/>
        <w:gridCol w:w="3427"/>
      </w:tblGrid>
      <w:tr>
        <w:tc>
          <w:tcPr>
            <w:tcW w:type="dxa" w:w="3360"/>
            <w:shd w:fill="F4F6FA"/>
            <w:tcMar>
              <w:top w:w="90" w:type="dxa"/>
              <w:start w:w="75" w:type="dxa"/>
              <w:bottom w:w="90" w:type="dxa"/>
              <w:end w:w="75" w:type="dxa"/>
            </w:tcMar>
          </w:tcPr>
          <w:p>
            <w:pPr>
              <w:spacing w:after="20"/>
              <w:jc w:val="center"/>
            </w:pPr>
            <w:r/>
            <w:r>
              <w:rPr>
                <w:rFonts w:ascii="Montserrat" w:hAnsi="Montserrat"/>
                <w:b/>
                <w:color w:val="ED1B2E"/>
                <w:sz w:val="36"/>
              </w:rPr>
              <w:t>45%</w:t>
            </w:r>
          </w:p>
          <w:p>
            <w:pPr>
              <w:spacing w:after="0"/>
              <w:jc w:val="center"/>
            </w:pPr>
            <w:r>
              <w:rPr>
                <w:rFonts w:ascii="Montserrat" w:hAnsi="Montserrat"/>
                <w:b/>
                <w:color w:val="6E7C96"/>
                <w:sz w:val="15"/>
              </w:rPr>
              <w:t>INVESTIGACIÓN IA</w:t>
            </w:r>
          </w:p>
        </w:tc>
        <w:tc>
          <w:tcPr>
            <w:tcW w:type="dxa" w:w="3360"/>
            <w:shd w:fill="F4F6FA"/>
            <w:tcMar>
              <w:top w:w="90" w:type="dxa"/>
              <w:start w:w="75" w:type="dxa"/>
              <w:bottom w:w="90" w:type="dxa"/>
              <w:end w:w="75" w:type="dxa"/>
            </w:tcMar>
          </w:tcPr>
          <w:p>
            <w:pPr>
              <w:spacing w:after="20"/>
              <w:jc w:val="center"/>
            </w:pPr>
            <w:r/>
            <w:r>
              <w:rPr>
                <w:rFonts w:ascii="Montserrat" w:hAnsi="Montserrat"/>
                <w:b/>
                <w:color w:val="061B45"/>
                <w:sz w:val="36"/>
              </w:rPr>
              <w:t>20%</w:t>
            </w:r>
          </w:p>
          <w:p>
            <w:pPr>
              <w:spacing w:after="0"/>
              <w:jc w:val="center"/>
            </w:pPr>
            <w:r>
              <w:rPr>
                <w:rFonts w:ascii="Montserrat" w:hAnsi="Montserrat"/>
                <w:b/>
                <w:color w:val="6E7C96"/>
                <w:sz w:val="15"/>
              </w:rPr>
              <w:t>VALIDACIÓN USUARIOS</w:t>
            </w:r>
          </w:p>
        </w:tc>
        <w:tc>
          <w:tcPr>
            <w:tcW w:type="dxa" w:w="3360"/>
            <w:shd w:fill="F4F6FA"/>
            <w:tcMar>
              <w:top w:w="90" w:type="dxa"/>
              <w:start w:w="75" w:type="dxa"/>
              <w:bottom w:w="90" w:type="dxa"/>
              <w:end w:w="75" w:type="dxa"/>
            </w:tcMar>
          </w:tcPr>
          <w:p>
            <w:pPr>
              <w:spacing w:after="20"/>
              <w:jc w:val="center"/>
            </w:pPr>
            <w:r/>
            <w:r>
              <w:rPr>
                <w:rFonts w:ascii="Montserrat" w:hAnsi="Montserrat"/>
                <w:b/>
                <w:color w:val="061B45"/>
                <w:sz w:val="36"/>
              </w:rPr>
              <w:t>35%</w:t>
            </w:r>
          </w:p>
          <w:p>
            <w:pPr>
              <w:spacing w:after="0"/>
              <w:jc w:val="center"/>
            </w:pPr>
            <w:r>
              <w:rPr>
                <w:rFonts w:ascii="Montserrat" w:hAnsi="Montserrat"/>
                <w:b/>
                <w:color w:val="6E7C96"/>
                <w:sz w:val="15"/>
              </w:rPr>
              <w:t>ANÁLISIS TG</w:t>
            </w:r>
          </w:p>
        </w:tc>
      </w:tr>
    </w:tbl>
    <w:p>
      <w:pPr>
        <w:widowControl/>
        <w:spacing w:after="0"/>
      </w:pPr>
    </w:p>
    <w:tbl>
      <w:tblPr>
        <w:tblW w:type="auto" w:w="0"/>
        <w:jc w:val="center"/>
        <w:tblLayout w:type="fixed"/>
        <w:tblLook w:firstColumn="1" w:firstRow="1" w:lastColumn="0" w:lastRow="0" w:noHBand="0" w:noVBand="1" w:val="04A0"/>
        <w:tblBorders>
          <w:top w:val="single" w:sz="5" w:color="D9E0EA"/>
          <w:left w:val="single" w:sz="5" w:color="D9E0EA"/>
          <w:bottom w:val="single" w:sz="5" w:color="D9E0EA"/>
          <w:right w:val="single" w:sz="5" w:color="D9E0EA"/>
          <w:insideH w:val="single" w:sz="5" w:color="D9E0EA"/>
          <w:insideV w:val="single" w:sz="5" w:color="D9E0EA"/>
        </w:tblBorders>
      </w:tblPr>
      <w:tblGrid>
        <w:gridCol w:w="3427"/>
        <w:gridCol w:w="3427"/>
        <w:gridCol w:w="3427"/>
      </w:tblGrid>
      <w:tr>
        <w:trPr>
          <w:cantSplit/>
          <w:tblHeader w:val="true"/>
        </w:trPr>
        <w:tc>
          <w:tcPr>
            <w:tcW w:type="dxa" w:w="6912"/>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6"/>
              </w:rPr>
              <w:t>DIMENSIÓN</w:t>
            </w:r>
          </w:p>
        </w:tc>
        <w:tc>
          <w:tcPr>
            <w:tcW w:type="dxa" w:w="1512"/>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6"/>
              </w:rPr>
              <w:t>PESO</w:t>
            </w:r>
          </w:p>
        </w:tc>
        <w:tc>
          <w:tcPr>
            <w:tcW w:type="dxa" w:w="1512"/>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6"/>
              </w:rPr>
              <w:t>CRITERIOS</w:t>
            </w:r>
          </w:p>
        </w:tc>
      </w:tr>
      <w:tr>
        <w:trPr>
          <w:cantSplit/>
        </w:trPr>
        <w:tc>
          <w:tcPr>
            <w:tcW w:type="dxa" w:w="6912"/>
            <w:shd w:fill="FFFFFF"/>
            <w:vAlign w:val="center"/>
            <w:tcMar>
              <w:top w:w="70" w:type="dxa"/>
              <w:start w:w="85" w:type="dxa"/>
              <w:bottom w:w="70" w:type="dxa"/>
              <w:end w:w="85" w:type="dxa"/>
            </w:tcMar>
          </w:tcPr>
          <w:p>
            <w:pPr>
              <w:spacing w:after="0" w:line="240" w:lineRule="auto"/>
              <w:jc w:val="left"/>
            </w:pPr>
            <w:r/>
            <w:r>
              <w:rPr>
                <w:rFonts w:ascii="Montserrat" w:hAnsi="Montserrat"/>
                <w:b/>
                <w:color w:val="061B45"/>
                <w:sz w:val="16"/>
              </w:rPr>
              <w:t>Relevancia estratégica</w:t>
            </w:r>
          </w:p>
        </w:tc>
        <w:tc>
          <w:tcPr>
            <w:tcW w:type="dxa" w:w="151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15%</w:t>
            </w:r>
          </w:p>
        </w:tc>
        <w:tc>
          <w:tcPr>
            <w:tcW w:type="dxa" w:w="151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4</w:t>
            </w:r>
          </w:p>
        </w:tc>
      </w:tr>
      <w:tr>
        <w:trPr>
          <w:cantSplit/>
        </w:trPr>
        <w:tc>
          <w:tcPr>
            <w:tcW w:type="dxa" w:w="6912"/>
            <w:shd w:fill="F4F6FA"/>
            <w:vAlign w:val="center"/>
            <w:tcMar>
              <w:top w:w="70" w:type="dxa"/>
              <w:start w:w="85" w:type="dxa"/>
              <w:bottom w:w="70" w:type="dxa"/>
              <w:end w:w="85" w:type="dxa"/>
            </w:tcMar>
          </w:tcPr>
          <w:p>
            <w:pPr>
              <w:spacing w:after="0" w:line="240" w:lineRule="auto"/>
              <w:jc w:val="left"/>
            </w:pPr>
            <w:r/>
            <w:r>
              <w:rPr>
                <w:rFonts w:ascii="Montserrat" w:hAnsi="Montserrat"/>
                <w:b/>
                <w:color w:val="061B45"/>
                <w:sz w:val="16"/>
              </w:rPr>
              <w:t>Valor para el cliente</w:t>
            </w:r>
          </w:p>
        </w:tc>
        <w:tc>
          <w:tcPr>
            <w:tcW w:type="dxa" w:w="151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15%</w:t>
            </w:r>
          </w:p>
        </w:tc>
        <w:tc>
          <w:tcPr>
            <w:tcW w:type="dxa" w:w="151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4</w:t>
            </w:r>
          </w:p>
        </w:tc>
      </w:tr>
      <w:tr>
        <w:trPr>
          <w:cantSplit/>
        </w:trPr>
        <w:tc>
          <w:tcPr>
            <w:tcW w:type="dxa" w:w="6912"/>
            <w:shd w:fill="FFFFFF"/>
            <w:vAlign w:val="center"/>
            <w:tcMar>
              <w:top w:w="70" w:type="dxa"/>
              <w:start w:w="85" w:type="dxa"/>
              <w:bottom w:w="70" w:type="dxa"/>
              <w:end w:w="85" w:type="dxa"/>
            </w:tcMar>
          </w:tcPr>
          <w:p>
            <w:pPr>
              <w:spacing w:after="0" w:line="240" w:lineRule="auto"/>
              <w:jc w:val="left"/>
            </w:pPr>
            <w:r/>
            <w:r>
              <w:rPr>
                <w:rFonts w:ascii="Montserrat" w:hAnsi="Montserrat"/>
                <w:b/>
                <w:color w:val="061B45"/>
                <w:sz w:val="16"/>
              </w:rPr>
              <w:t>Mecánica de lealtad</w:t>
            </w:r>
          </w:p>
        </w:tc>
        <w:tc>
          <w:tcPr>
            <w:tcW w:type="dxa" w:w="151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14%</w:t>
            </w:r>
          </w:p>
        </w:tc>
        <w:tc>
          <w:tcPr>
            <w:tcW w:type="dxa" w:w="151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4</w:t>
            </w:r>
          </w:p>
        </w:tc>
      </w:tr>
      <w:tr>
        <w:trPr>
          <w:cantSplit/>
        </w:trPr>
        <w:tc>
          <w:tcPr>
            <w:tcW w:type="dxa" w:w="6912"/>
            <w:shd w:fill="F4F6FA"/>
            <w:vAlign w:val="center"/>
            <w:tcMar>
              <w:top w:w="70" w:type="dxa"/>
              <w:start w:w="85" w:type="dxa"/>
              <w:bottom w:w="70" w:type="dxa"/>
              <w:end w:w="85" w:type="dxa"/>
            </w:tcMar>
          </w:tcPr>
          <w:p>
            <w:pPr>
              <w:spacing w:after="0" w:line="240" w:lineRule="auto"/>
              <w:jc w:val="left"/>
            </w:pPr>
            <w:r/>
            <w:r>
              <w:rPr>
                <w:rFonts w:ascii="Montserrat" w:hAnsi="Montserrat"/>
                <w:b/>
                <w:color w:val="061B45"/>
                <w:sz w:val="16"/>
              </w:rPr>
              <w:t>Experiencia y UX</w:t>
            </w:r>
          </w:p>
        </w:tc>
        <w:tc>
          <w:tcPr>
            <w:tcW w:type="dxa" w:w="151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12%</w:t>
            </w:r>
          </w:p>
        </w:tc>
        <w:tc>
          <w:tcPr>
            <w:tcW w:type="dxa" w:w="151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4</w:t>
            </w:r>
          </w:p>
        </w:tc>
      </w:tr>
      <w:tr>
        <w:trPr>
          <w:cantSplit/>
        </w:trPr>
        <w:tc>
          <w:tcPr>
            <w:tcW w:type="dxa" w:w="6912"/>
            <w:shd w:fill="FFFFFF"/>
            <w:vAlign w:val="center"/>
            <w:tcMar>
              <w:top w:w="70" w:type="dxa"/>
              <w:start w:w="85" w:type="dxa"/>
              <w:bottom w:w="70" w:type="dxa"/>
              <w:end w:w="85" w:type="dxa"/>
            </w:tcMar>
          </w:tcPr>
          <w:p>
            <w:pPr>
              <w:spacing w:after="0" w:line="240" w:lineRule="auto"/>
              <w:jc w:val="left"/>
            </w:pPr>
            <w:r/>
            <w:r>
              <w:rPr>
                <w:rFonts w:ascii="Montserrat" w:hAnsi="Montserrat"/>
                <w:b/>
                <w:color w:val="061B45"/>
                <w:sz w:val="16"/>
              </w:rPr>
              <w:t>Datos y personalización</w:t>
            </w:r>
          </w:p>
        </w:tc>
        <w:tc>
          <w:tcPr>
            <w:tcW w:type="dxa" w:w="151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12%</w:t>
            </w:r>
          </w:p>
        </w:tc>
        <w:tc>
          <w:tcPr>
            <w:tcW w:type="dxa" w:w="151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4</w:t>
            </w:r>
          </w:p>
        </w:tc>
      </w:tr>
      <w:tr>
        <w:trPr>
          <w:cantSplit/>
        </w:trPr>
        <w:tc>
          <w:tcPr>
            <w:tcW w:type="dxa" w:w="6912"/>
            <w:shd w:fill="F4F6FA"/>
            <w:vAlign w:val="center"/>
            <w:tcMar>
              <w:top w:w="70" w:type="dxa"/>
              <w:start w:w="85" w:type="dxa"/>
              <w:bottom w:w="70" w:type="dxa"/>
              <w:end w:w="85" w:type="dxa"/>
            </w:tcMar>
          </w:tcPr>
          <w:p>
            <w:pPr>
              <w:spacing w:after="0" w:line="240" w:lineRule="auto"/>
              <w:jc w:val="left"/>
            </w:pPr>
            <w:r/>
            <w:r>
              <w:rPr>
                <w:rFonts w:ascii="Montserrat" w:hAnsi="Montserrat"/>
                <w:b/>
                <w:color w:val="061B45"/>
                <w:sz w:val="16"/>
              </w:rPr>
              <w:t>Ecosistema y omnicanalidad</w:t>
            </w:r>
          </w:p>
        </w:tc>
        <w:tc>
          <w:tcPr>
            <w:tcW w:type="dxa" w:w="151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10%</w:t>
            </w:r>
          </w:p>
        </w:tc>
        <w:tc>
          <w:tcPr>
            <w:tcW w:type="dxa" w:w="151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3</w:t>
            </w:r>
          </w:p>
        </w:tc>
      </w:tr>
      <w:tr>
        <w:trPr>
          <w:cantSplit/>
        </w:trPr>
        <w:tc>
          <w:tcPr>
            <w:tcW w:type="dxa" w:w="6912"/>
            <w:shd w:fill="FFFFFF"/>
            <w:vAlign w:val="center"/>
            <w:tcMar>
              <w:top w:w="70" w:type="dxa"/>
              <w:start w:w="85" w:type="dxa"/>
              <w:bottom w:w="70" w:type="dxa"/>
              <w:end w:w="85" w:type="dxa"/>
            </w:tcMar>
          </w:tcPr>
          <w:p>
            <w:pPr>
              <w:spacing w:after="0" w:line="240" w:lineRule="auto"/>
              <w:jc w:val="left"/>
            </w:pPr>
            <w:r/>
            <w:r>
              <w:rPr>
                <w:rFonts w:ascii="Montserrat" w:hAnsi="Montserrat"/>
                <w:b/>
                <w:color w:val="061B45"/>
                <w:sz w:val="16"/>
              </w:rPr>
              <w:t>Engagement y gamificación</w:t>
            </w:r>
          </w:p>
        </w:tc>
        <w:tc>
          <w:tcPr>
            <w:tcW w:type="dxa" w:w="151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8%</w:t>
            </w:r>
          </w:p>
        </w:tc>
        <w:tc>
          <w:tcPr>
            <w:tcW w:type="dxa" w:w="151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3</w:t>
            </w:r>
          </w:p>
        </w:tc>
      </w:tr>
      <w:tr>
        <w:trPr>
          <w:cantSplit/>
        </w:trPr>
        <w:tc>
          <w:tcPr>
            <w:tcW w:type="dxa" w:w="6912"/>
            <w:shd w:fill="F4F6FA"/>
            <w:vAlign w:val="center"/>
            <w:tcMar>
              <w:top w:w="70" w:type="dxa"/>
              <w:start w:w="85" w:type="dxa"/>
              <w:bottom w:w="70" w:type="dxa"/>
              <w:end w:w="85" w:type="dxa"/>
            </w:tcMar>
          </w:tcPr>
          <w:p>
            <w:pPr>
              <w:spacing w:after="0" w:line="240" w:lineRule="auto"/>
              <w:jc w:val="left"/>
            </w:pPr>
            <w:r/>
            <w:r>
              <w:rPr>
                <w:rFonts w:ascii="Montserrat" w:hAnsi="Montserrat"/>
                <w:b/>
                <w:color w:val="061B45"/>
                <w:sz w:val="16"/>
              </w:rPr>
              <w:t>Viabilidad para AKRON</w:t>
            </w:r>
          </w:p>
        </w:tc>
        <w:tc>
          <w:tcPr>
            <w:tcW w:type="dxa" w:w="151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14%</w:t>
            </w:r>
          </w:p>
        </w:tc>
        <w:tc>
          <w:tcPr>
            <w:tcW w:type="dxa" w:w="151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5</w:t>
            </w:r>
          </w:p>
        </w:tc>
      </w:tr>
    </w:tbl>
    <w:p>
      <w:pPr>
        <w:widowControl/>
        <w:spacing w:after="0" w:before="0"/>
      </w:pPr>
    </w:p>
    <w:p>
      <w:pPr>
        <w:pStyle w:val="Heading1"/>
        <w:widowControl/>
      </w:pPr>
      <w:r>
        <w:rPr>
          <w:rFonts w:ascii="Montserrat" w:hAnsi="Montserrat"/>
        </w:rPr>
        <w:t>Cómo leer la calificación técnica</w:t>
      </w:r>
    </w:p>
    <w:p>
      <w:pPr>
        <w:widowControl/>
        <w:spacing w:after="80"/>
      </w:pPr>
      <w:r>
        <w:rPr>
          <w:rFonts w:ascii="Montserrat" w:hAnsi="Montserrat"/>
          <w:color w:val="172033"/>
          <w:sz w:val="18"/>
        </w:rPr>
        <w:t>Cada criterio se califica de 1 a 5 con anclas explícitas. Puntos brutos = calificación ÷ 5 × peso. El resultado técnico se ajusta por confianza de la evidencia: alta 1.00, media alta 0.95, media 0.90, media baja 0.82 y baja 0.75. Estas cifras sirven para detectar vacíos y dirigir pruebas; no constituyen conclusiones comparativas finales.</w:t>
      </w:r>
    </w:p>
    <w:p>
      <w:pPr>
        <w:pStyle w:val="Heading1"/>
        <w:widowControl/>
      </w:pPr>
      <w:r>
        <w:rPr>
          <w:rFonts w:ascii="Montserrat" w:hAnsi="Montserrat"/>
        </w:rPr>
        <w:t>Jerarquía mínima de evidencia</w:t>
      </w:r>
    </w:p>
    <w:tbl>
      <w:tblPr>
        <w:tblW w:type="auto" w:w="0"/>
        <w:jc w:val="center"/>
        <w:tblLayout w:type="fixed"/>
        <w:tblLook w:firstColumn="1" w:firstRow="1" w:lastColumn="0" w:lastRow="0" w:noHBand="0" w:noVBand="1" w:val="04A0"/>
        <w:tblBorders>
          <w:top w:val="single" w:sz="5" w:color="D9E0EA"/>
          <w:left w:val="single" w:sz="5" w:color="D9E0EA"/>
          <w:bottom w:val="single" w:sz="5" w:color="D9E0EA"/>
          <w:right w:val="single" w:sz="5" w:color="D9E0EA"/>
          <w:insideH w:val="single" w:sz="5" w:color="D9E0EA"/>
          <w:insideV w:val="single" w:sz="5" w:color="D9E0EA"/>
        </w:tblBorders>
      </w:tblPr>
      <w:tblGrid>
        <w:gridCol w:w="5141"/>
        <w:gridCol w:w="5141"/>
      </w:tblGrid>
      <w:tr>
        <w:trPr>
          <w:cantSplit/>
          <w:tblHeader w:val="true"/>
        </w:trPr>
        <w:tc>
          <w:tcPr>
            <w:tcW w:type="dxa" w:w="1440"/>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6"/>
              </w:rPr>
              <w:t>NIVEL</w:t>
            </w:r>
          </w:p>
        </w:tc>
        <w:tc>
          <w:tcPr>
            <w:tcW w:type="dxa" w:w="8496"/>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6"/>
              </w:rPr>
              <w:t>USO</w:t>
            </w:r>
          </w:p>
        </w:tc>
      </w:tr>
      <w:tr>
        <w:trPr>
          <w:cantSplit/>
        </w:trPr>
        <w:tc>
          <w:tcPr>
            <w:tcW w:type="dxa" w:w="1440"/>
            <w:shd w:fill="FFFFFF"/>
            <w:vAlign w:val="center"/>
            <w:tcMar>
              <w:top w:w="70" w:type="dxa"/>
              <w:start w:w="85" w:type="dxa"/>
              <w:bottom w:w="70" w:type="dxa"/>
              <w:end w:w="85" w:type="dxa"/>
            </w:tcMar>
          </w:tcPr>
          <w:p>
            <w:pPr>
              <w:spacing w:after="0" w:line="240" w:lineRule="auto"/>
              <w:jc w:val="left"/>
            </w:pPr>
            <w:r/>
            <w:r>
              <w:rPr>
                <w:rFonts w:ascii="Montserrat" w:hAnsi="Montserrat"/>
                <w:b/>
                <w:color w:val="061B45"/>
                <w:sz w:val="16"/>
              </w:rPr>
              <w:t>A1</w:t>
            </w:r>
          </w:p>
        </w:tc>
        <w:tc>
          <w:tcPr>
            <w:tcW w:type="dxa" w:w="8496"/>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Términos, contrato, FAQ o norma oficial para reglas y restricciones.</w:t>
            </w:r>
          </w:p>
        </w:tc>
      </w:tr>
      <w:tr>
        <w:trPr>
          <w:cantSplit/>
        </w:trPr>
        <w:tc>
          <w:tcPr>
            <w:tcW w:type="dxa" w:w="1440"/>
            <w:shd w:fill="F4F6FA"/>
            <w:vAlign w:val="center"/>
            <w:tcMar>
              <w:top w:w="70" w:type="dxa"/>
              <w:start w:w="85" w:type="dxa"/>
              <w:bottom w:w="70" w:type="dxa"/>
              <w:end w:w="85" w:type="dxa"/>
            </w:tcMar>
          </w:tcPr>
          <w:p>
            <w:pPr>
              <w:spacing w:after="0" w:line="240" w:lineRule="auto"/>
              <w:jc w:val="left"/>
            </w:pPr>
            <w:r/>
            <w:r>
              <w:rPr>
                <w:rFonts w:ascii="Montserrat" w:hAnsi="Montserrat"/>
                <w:b/>
                <w:color w:val="061B45"/>
                <w:sz w:val="16"/>
              </w:rPr>
              <w:t>A2</w:t>
            </w:r>
          </w:p>
        </w:tc>
        <w:tc>
          <w:tcPr>
            <w:tcW w:type="dxa" w:w="8496"/>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Sitio, app o comunicación oficial para funcionalidades y journey declarado.</w:t>
            </w:r>
          </w:p>
        </w:tc>
      </w:tr>
      <w:tr>
        <w:trPr>
          <w:cantSplit/>
        </w:trPr>
        <w:tc>
          <w:tcPr>
            <w:tcW w:type="dxa" w:w="1440"/>
            <w:shd w:fill="FFFFFF"/>
            <w:vAlign w:val="center"/>
            <w:tcMar>
              <w:top w:w="70" w:type="dxa"/>
              <w:start w:w="85" w:type="dxa"/>
              <w:bottom w:w="70" w:type="dxa"/>
              <w:end w:w="85" w:type="dxa"/>
            </w:tcMar>
          </w:tcPr>
          <w:p>
            <w:pPr>
              <w:spacing w:after="0" w:line="240" w:lineRule="auto"/>
              <w:jc w:val="left"/>
            </w:pPr>
            <w:r/>
            <w:r>
              <w:rPr>
                <w:rFonts w:ascii="Montserrat" w:hAnsi="Montserrat"/>
                <w:b/>
                <w:color w:val="061B45"/>
                <w:sz w:val="16"/>
              </w:rPr>
              <w:t>B1 / B2</w:t>
            </w:r>
          </w:p>
        </w:tc>
        <w:tc>
          <w:tcPr>
            <w:tcW w:type="dxa" w:w="8496"/>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Fuentes técnicas, observación y reseñas para contexto y fricciones.</w:t>
            </w:r>
          </w:p>
        </w:tc>
      </w:tr>
      <w:tr>
        <w:trPr>
          <w:cantSplit/>
        </w:trPr>
        <w:tc>
          <w:tcPr>
            <w:tcW w:type="dxa" w:w="1440"/>
            <w:shd w:fill="F4F6FA"/>
            <w:vAlign w:val="center"/>
            <w:tcMar>
              <w:top w:w="70" w:type="dxa"/>
              <w:start w:w="85" w:type="dxa"/>
              <w:bottom w:w="70" w:type="dxa"/>
              <w:end w:w="85" w:type="dxa"/>
            </w:tcMar>
          </w:tcPr>
          <w:p>
            <w:pPr>
              <w:spacing w:after="0" w:line="240" w:lineRule="auto"/>
              <w:jc w:val="left"/>
            </w:pPr>
            <w:r/>
            <w:r>
              <w:rPr>
                <w:rFonts w:ascii="Montserrat" w:hAnsi="Montserrat"/>
                <w:b/>
                <w:color w:val="061B45"/>
                <w:sz w:val="16"/>
              </w:rPr>
              <w:t>C / D</w:t>
            </w:r>
          </w:p>
        </w:tc>
        <w:tc>
          <w:tcPr>
            <w:tcW w:type="dxa" w:w="8496"/>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Prensa o pistas: ayudan a descubrir, pero no cierran calificaciones por sí solas.</w:t>
            </w:r>
          </w:p>
        </w:tc>
      </w:tr>
    </w:tbl>
    <w:p>
      <w:pPr>
        <w:widowControl/>
        <w:spacing w:after="0" w:before="0"/>
      </w:pPr>
    </w:p>
    <w:p>
      <w:pPr>
        <w:widowControl/>
        <w:spacing w:after="80"/>
      </w:pPr>
      <w:r>
        <w:rPr>
          <w:rFonts w:ascii="Montserrat" w:hAnsi="Montserrat"/>
          <w:color w:val="172033"/>
          <w:sz w:val="18"/>
        </w:rPr>
        <w:t>La hoja complementaria conserva URL, fecha, hallazgo, calidad, confianza, verificación y vínculo con cada calificación. Las reseñas nunca se usan para afirmar una regla comercial. Las conclusiones comparativas finales se consolidarán después del Human Lab y del análisis estratégico.</w:t>
      </w:r>
    </w:p>
    <w:p>
      <w:pPr>
        <w:widowControl/>
      </w:pPr>
      <w:r>
        <w:rPr>
          <w:rFonts w:ascii="Montserrat" w:hAnsi="Montserrat"/>
        </w:rPr>
        <w:br w:type="page"/>
      </w:r>
    </w:p>
    <w:p>
      <w:pPr>
        <w:widowControl/>
        <w:spacing w:after="40"/>
      </w:pPr>
      <w:r>
        <w:rPr>
          <w:rFonts w:ascii="Montserrat" w:hAnsi="Montserrat"/>
          <w:b/>
          <w:color w:val="ED1B2E"/>
          <w:sz w:val="16"/>
        </w:rPr>
        <w:t>04 · COMPARACIÓN</w:t>
      </w:r>
    </w:p>
    <w:p>
      <w:pPr>
        <w:pStyle w:val="Title"/>
        <w:widowControl/>
        <w:spacing w:after="80"/>
      </w:pPr>
      <w:r>
        <w:rPr>
          <w:rFonts w:ascii="Montserrat" w:hAnsi="Montserrat"/>
        </w:rPr>
        <w:t>Mapa de capacidades para orientar pruebas</w:t>
      </w:r>
    </w:p>
    <w:p>
      <w:pPr>
        <w:pStyle w:val="Subtitle"/>
        <w:widowControl/>
      </w:pPr>
      <w:r>
        <w:rPr>
          <w:rFonts w:ascii="Montserrat" w:hAnsi="Montserrat"/>
        </w:rPr>
        <w:t>Los casos se presentan en el orden aprobado y la comparación se expresa como una lectura por capacidades.</w:t>
      </w:r>
    </w:p>
    <w:p>
      <w:pPr>
        <w:spacing w:after="100"/>
        <w:widowControl/>
        <w:pBdr>
          <w:bottom w:val="single" w:sz="20" w:space="1" w:color="ED1B2E"/>
        </w:pBdr>
      </w:pPr>
    </w:p>
    <w:tbl>
      <w:tblPr>
        <w:tblW w:type="auto" w:w="0"/>
        <w:jc w:val="center"/>
        <w:tblLayout w:type="fixed"/>
        <w:tblLook w:firstColumn="1" w:firstRow="1" w:lastColumn="0" w:lastRow="0" w:noHBand="0" w:noVBand="1" w:val="04A0"/>
        <w:tblBorders>
          <w:top w:val="single" w:sz="5" w:color="D9E0EA"/>
          <w:left w:val="single" w:sz="5" w:color="D9E0EA"/>
          <w:bottom w:val="single" w:sz="5" w:color="D9E0EA"/>
          <w:right w:val="single" w:sz="5" w:color="D9E0EA"/>
          <w:insideH w:val="single" w:sz="5" w:color="D9E0EA"/>
          <w:insideV w:val="single" w:sz="5" w:color="D9E0EA"/>
        </w:tblBorders>
      </w:tblPr>
      <w:tblGrid>
        <w:gridCol w:w="2570"/>
        <w:gridCol w:w="2570"/>
        <w:gridCol w:w="2570"/>
        <w:gridCol w:w="2570"/>
      </w:tblGrid>
      <w:tr>
        <w:trPr>
          <w:cantSplit/>
          <w:tblHeader w:val="true"/>
        </w:trPr>
        <w:tc>
          <w:tcPr>
            <w:tcW w:type="dxa" w:w="1800"/>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4"/>
              </w:rPr>
              <w:t>CASO</w:t>
            </w:r>
          </w:p>
        </w:tc>
        <w:tc>
          <w:tcPr>
            <w:tcW w:type="dxa" w:w="3816"/>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4"/>
              </w:rPr>
              <w:t>CAPACIDAD OBSERVADA</w:t>
            </w:r>
          </w:p>
        </w:tc>
        <w:tc>
          <w:tcPr>
            <w:tcW w:type="dxa" w:w="1224"/>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4"/>
              </w:rPr>
              <w:t>CONFIANZA</w:t>
            </w:r>
          </w:p>
        </w:tc>
        <w:tc>
          <w:tcPr>
            <w:tcW w:type="dxa" w:w="3096"/>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4"/>
              </w:rPr>
              <w:t>VALIDACIÓN PRIORITARIA</w:t>
            </w:r>
          </w:p>
        </w:tc>
      </w:tr>
      <w:tr>
        <w:trPr>
          <w:cantSplit/>
        </w:trPr>
        <w:tc>
          <w:tcPr>
            <w:tcW w:type="dxa" w:w="1800"/>
            <w:shd w:fill="FFFFFF"/>
            <w:vAlign w:val="center"/>
            <w:tcMar>
              <w:top w:w="70" w:type="dxa"/>
              <w:start w:w="85" w:type="dxa"/>
              <w:bottom w:w="70" w:type="dxa"/>
              <w:end w:w="85" w:type="dxa"/>
            </w:tcMar>
          </w:tcPr>
          <w:p>
            <w:pPr>
              <w:spacing w:after="0" w:line="240" w:lineRule="auto"/>
              <w:jc w:val="left"/>
            </w:pPr>
            <w:r/>
            <w:r>
              <w:rPr>
                <w:rFonts w:ascii="Montserrat" w:hAnsi="Montserrat"/>
                <w:b/>
                <w:color w:val="061B45"/>
                <w:sz w:val="14"/>
              </w:rPr>
              <w:t>G500</w:t>
            </w:r>
          </w:p>
        </w:tc>
        <w:tc>
          <w:tcPr>
            <w:tcW w:type="dxa" w:w="3816"/>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Acumulación por litro, catálogo, factura y localizador.</w:t>
            </w:r>
          </w:p>
        </w:tc>
        <w:tc>
          <w:tcPr>
            <w:tcW w:type="dxa" w:w="1224"/>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Alta</w:t>
            </w:r>
          </w:p>
        </w:tc>
        <w:tc>
          <w:tcPr>
            <w:tcW w:type="dxa" w:w="3096"/>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Ticket, tiempo de abono y canje.</w:t>
            </w:r>
          </w:p>
        </w:tc>
      </w:tr>
      <w:tr>
        <w:trPr>
          <w:cantSplit/>
        </w:trPr>
        <w:tc>
          <w:tcPr>
            <w:tcW w:type="dxa" w:w="1800"/>
            <w:shd w:fill="F4F6FA"/>
            <w:vAlign w:val="center"/>
            <w:tcMar>
              <w:top w:w="70" w:type="dxa"/>
              <w:start w:w="85" w:type="dxa"/>
              <w:bottom w:w="70" w:type="dxa"/>
              <w:end w:w="85" w:type="dxa"/>
            </w:tcMar>
          </w:tcPr>
          <w:p>
            <w:pPr>
              <w:spacing w:after="0" w:line="240" w:lineRule="auto"/>
              <w:jc w:val="left"/>
            </w:pPr>
            <w:r/>
            <w:r>
              <w:rPr>
                <w:rFonts w:ascii="Montserrat" w:hAnsi="Montserrat"/>
                <w:b/>
                <w:color w:val="061B45"/>
                <w:sz w:val="14"/>
              </w:rPr>
              <w:t>BPme</w:t>
            </w:r>
          </w:p>
        </w:tc>
        <w:tc>
          <w:tcPr>
            <w:tcW w:type="dxa" w:w="3816"/>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Promociones, localizador y facturación.</w:t>
            </w:r>
          </w:p>
        </w:tc>
        <w:tc>
          <w:tcPr>
            <w:tcW w:type="dxa" w:w="1224"/>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Media</w:t>
            </w:r>
          </w:p>
        </w:tc>
        <w:tc>
          <w:tcPr>
            <w:tcW w:type="dxa" w:w="3096"/>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Tasa base, identificación y redención.</w:t>
            </w:r>
          </w:p>
        </w:tc>
      </w:tr>
      <w:tr>
        <w:trPr>
          <w:cantSplit/>
        </w:trPr>
        <w:tc>
          <w:tcPr>
            <w:tcW w:type="dxa" w:w="1800"/>
            <w:shd w:fill="FFFFFF"/>
            <w:vAlign w:val="center"/>
            <w:tcMar>
              <w:top w:w="70" w:type="dxa"/>
              <w:start w:w="85" w:type="dxa"/>
              <w:bottom w:w="70" w:type="dxa"/>
              <w:end w:w="85" w:type="dxa"/>
            </w:tcMar>
          </w:tcPr>
          <w:p>
            <w:pPr>
              <w:spacing w:after="0" w:line="240" w:lineRule="auto"/>
              <w:jc w:val="left"/>
            </w:pPr>
            <w:r/>
            <w:r>
              <w:rPr>
                <w:rFonts w:ascii="Montserrat" w:hAnsi="Montserrat"/>
                <w:b/>
                <w:color w:val="061B45"/>
                <w:sz w:val="14"/>
              </w:rPr>
              <w:t>Sevenly</w:t>
            </w:r>
          </w:p>
        </w:tc>
        <w:tc>
          <w:tcPr>
            <w:tcW w:type="dxa" w:w="3816"/>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Combustible + conveniencia, cashback, retos y personalización.</w:t>
            </w:r>
          </w:p>
        </w:tc>
        <w:tc>
          <w:tcPr>
            <w:tcW w:type="dxa" w:w="1224"/>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Alta</w:t>
            </w:r>
          </w:p>
        </w:tc>
        <w:tc>
          <w:tcPr>
            <w:tcW w:type="dxa" w:w="3096"/>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OTP, 0.1% fuel y establecimientos habilitados.</w:t>
            </w:r>
          </w:p>
        </w:tc>
      </w:tr>
      <w:tr>
        <w:trPr>
          <w:cantSplit/>
        </w:trPr>
        <w:tc>
          <w:tcPr>
            <w:tcW w:type="dxa" w:w="1800"/>
            <w:shd w:fill="F4F6FA"/>
            <w:vAlign w:val="center"/>
            <w:tcMar>
              <w:top w:w="70" w:type="dxa"/>
              <w:start w:w="85" w:type="dxa"/>
              <w:bottom w:w="70" w:type="dxa"/>
              <w:end w:w="85" w:type="dxa"/>
            </w:tcMar>
          </w:tcPr>
          <w:p>
            <w:pPr>
              <w:spacing w:after="0" w:line="240" w:lineRule="auto"/>
              <w:jc w:val="left"/>
            </w:pPr>
            <w:r/>
            <w:r>
              <w:rPr>
                <w:rFonts w:ascii="Montserrat" w:hAnsi="Montserrat"/>
                <w:b/>
                <w:color w:val="061B45"/>
                <w:sz w:val="14"/>
              </w:rPr>
              <w:t>Spin / OXXO GAS</w:t>
            </w:r>
          </w:p>
        </w:tc>
        <w:tc>
          <w:tcPr>
            <w:tcW w:type="dxa" w:w="3816"/>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Identidad de alta frecuencia, sellos, metas y aliados.</w:t>
            </w:r>
          </w:p>
        </w:tc>
        <w:tc>
          <w:tcPr>
            <w:tcW w:type="dxa" w:w="1224"/>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Alta</w:t>
            </w:r>
          </w:p>
        </w:tc>
        <w:tc>
          <w:tcPr>
            <w:tcW w:type="dxa" w:w="3096"/>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Beneficio vigente en gas y comunicación.</w:t>
            </w:r>
          </w:p>
        </w:tc>
      </w:tr>
      <w:tr>
        <w:trPr>
          <w:cantSplit/>
        </w:trPr>
        <w:tc>
          <w:tcPr>
            <w:tcW w:type="dxa" w:w="1800"/>
            <w:shd w:fill="FFFFFF"/>
            <w:vAlign w:val="center"/>
            <w:tcMar>
              <w:top w:w="70" w:type="dxa"/>
              <w:start w:w="85" w:type="dxa"/>
              <w:bottom w:w="70" w:type="dxa"/>
              <w:end w:w="85" w:type="dxa"/>
            </w:tcMar>
          </w:tcPr>
          <w:p>
            <w:pPr>
              <w:spacing w:after="0" w:line="240" w:lineRule="auto"/>
              <w:jc w:val="left"/>
            </w:pPr>
            <w:r/>
            <w:r>
              <w:rPr>
                <w:rFonts w:ascii="Montserrat" w:hAnsi="Montserrat"/>
                <w:b/>
                <w:color w:val="061B45"/>
                <w:sz w:val="14"/>
              </w:rPr>
              <w:t>Hidrosina</w:t>
            </w:r>
          </w:p>
        </w:tc>
        <w:tc>
          <w:tcPr>
            <w:tcW w:type="dxa" w:w="3816"/>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Pago QR, factura, historial y localizador.</w:t>
            </w:r>
          </w:p>
        </w:tc>
        <w:tc>
          <w:tcPr>
            <w:tcW w:type="dxa" w:w="1224"/>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Media</w:t>
            </w:r>
          </w:p>
        </w:tc>
        <w:tc>
          <w:tcPr>
            <w:tcW w:type="dxa" w:w="3096"/>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Diferencia entre app, tarjeta y Yo Elijo.</w:t>
            </w:r>
          </w:p>
        </w:tc>
      </w:tr>
      <w:tr>
        <w:trPr>
          <w:cantSplit/>
        </w:trPr>
        <w:tc>
          <w:tcPr>
            <w:tcW w:type="dxa" w:w="1800"/>
            <w:shd w:fill="F4F6FA"/>
            <w:vAlign w:val="center"/>
            <w:tcMar>
              <w:top w:w="70" w:type="dxa"/>
              <w:start w:w="85" w:type="dxa"/>
              <w:bottom w:w="70" w:type="dxa"/>
              <w:end w:w="85" w:type="dxa"/>
            </w:tcMar>
          </w:tcPr>
          <w:p>
            <w:pPr>
              <w:spacing w:after="0" w:line="240" w:lineRule="auto"/>
              <w:jc w:val="left"/>
            </w:pPr>
            <w:r/>
            <w:r>
              <w:rPr>
                <w:rFonts w:ascii="Montserrat" w:hAnsi="Montserrat"/>
                <w:b/>
                <w:color w:val="061B45"/>
                <w:sz w:val="14"/>
              </w:rPr>
              <w:t>Rendipuntos</w:t>
            </w:r>
          </w:p>
        </w:tc>
        <w:tc>
          <w:tcPr>
            <w:tcW w:type="dxa" w:w="3816"/>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Recompensa regional, litros, productos y perfiles.</w:t>
            </w:r>
          </w:p>
        </w:tc>
        <w:tc>
          <w:tcPr>
            <w:tcW w:type="dxa" w:w="1224"/>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Media alta</w:t>
            </w:r>
          </w:p>
        </w:tc>
        <w:tc>
          <w:tcPr>
            <w:tcW w:type="dxa" w:w="3096"/>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Tasa real, vencimiento y restricción.</w:t>
            </w:r>
          </w:p>
        </w:tc>
      </w:tr>
      <w:tr>
        <w:trPr>
          <w:cantSplit/>
        </w:trPr>
        <w:tc>
          <w:tcPr>
            <w:tcW w:type="dxa" w:w="1800"/>
            <w:shd w:fill="FFFFFF"/>
            <w:vAlign w:val="center"/>
            <w:tcMar>
              <w:top w:w="70" w:type="dxa"/>
              <w:start w:w="85" w:type="dxa"/>
              <w:bottom w:w="70" w:type="dxa"/>
              <w:end w:w="85" w:type="dxa"/>
            </w:tcMar>
          </w:tcPr>
          <w:p>
            <w:pPr>
              <w:spacing w:after="0" w:line="240" w:lineRule="auto"/>
              <w:jc w:val="left"/>
            </w:pPr>
            <w:r/>
            <w:r>
              <w:rPr>
                <w:rFonts w:ascii="Montserrat" w:hAnsi="Montserrat"/>
                <w:b/>
                <w:color w:val="061B45"/>
                <w:sz w:val="14"/>
              </w:rPr>
              <w:t>Mobil</w:t>
            </w:r>
          </w:p>
        </w:tc>
        <w:tc>
          <w:tcPr>
            <w:tcW w:type="dxa" w:w="3816"/>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Hitos, progreso visible y premios por recurrencia.</w:t>
            </w:r>
          </w:p>
        </w:tc>
        <w:tc>
          <w:tcPr>
            <w:tcW w:type="dxa" w:w="1224"/>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Alta</w:t>
            </w:r>
          </w:p>
        </w:tc>
        <w:tc>
          <w:tcPr>
            <w:tcW w:type="dxa" w:w="3096"/>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Acreditación e inventario en dos estaciones.</w:t>
            </w:r>
          </w:p>
        </w:tc>
      </w:tr>
      <w:tr>
        <w:trPr>
          <w:cantSplit/>
        </w:trPr>
        <w:tc>
          <w:tcPr>
            <w:tcW w:type="dxa" w:w="1800"/>
            <w:shd w:fill="F4F6FA"/>
            <w:vAlign w:val="center"/>
            <w:tcMar>
              <w:top w:w="70" w:type="dxa"/>
              <w:start w:w="85" w:type="dxa"/>
              <w:bottom w:w="70" w:type="dxa"/>
              <w:end w:w="85" w:type="dxa"/>
            </w:tcMar>
          </w:tcPr>
          <w:p>
            <w:pPr>
              <w:spacing w:after="0" w:line="240" w:lineRule="auto"/>
              <w:jc w:val="left"/>
            </w:pPr>
            <w:r/>
            <w:r>
              <w:rPr>
                <w:rFonts w:ascii="Montserrat" w:hAnsi="Montserrat"/>
                <w:b/>
                <w:color w:val="061B45"/>
                <w:sz w:val="14"/>
              </w:rPr>
              <w:t>Club Cinépolis</w:t>
            </w:r>
          </w:p>
        </w:tc>
        <w:tc>
          <w:tcPr>
            <w:tcW w:type="dxa" w:w="3816"/>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Valor equivalente a pesos, visitas y niveles.</w:t>
            </w:r>
          </w:p>
        </w:tc>
        <w:tc>
          <w:tcPr>
            <w:tcW w:type="dxa" w:w="1224"/>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Alta</w:t>
            </w:r>
          </w:p>
        </w:tc>
        <w:tc>
          <w:tcPr>
            <w:tcW w:type="dxa" w:w="3096"/>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Compra y redención autenticadas.</w:t>
            </w:r>
          </w:p>
        </w:tc>
      </w:tr>
      <w:tr>
        <w:trPr>
          <w:cantSplit/>
        </w:trPr>
        <w:tc>
          <w:tcPr>
            <w:tcW w:type="dxa" w:w="1800"/>
            <w:shd w:fill="FFFFFF"/>
            <w:vAlign w:val="center"/>
            <w:tcMar>
              <w:top w:w="70" w:type="dxa"/>
              <w:start w:w="85" w:type="dxa"/>
              <w:bottom w:w="70" w:type="dxa"/>
              <w:end w:w="85" w:type="dxa"/>
            </w:tcMar>
          </w:tcPr>
          <w:p>
            <w:pPr>
              <w:spacing w:after="0" w:line="240" w:lineRule="auto"/>
              <w:jc w:val="left"/>
            </w:pPr>
            <w:r/>
            <w:r>
              <w:rPr>
                <w:rFonts w:ascii="Montserrat" w:hAnsi="Montserrat"/>
                <w:b/>
                <w:color w:val="061B45"/>
                <w:sz w:val="14"/>
              </w:rPr>
              <w:t>Starbucks</w:t>
            </w:r>
          </w:p>
        </w:tc>
        <w:tc>
          <w:tcPr>
            <w:tcW w:type="dxa" w:w="3816"/>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Pago que acelera acumulación, niveles y personalización.</w:t>
            </w:r>
          </w:p>
        </w:tc>
        <w:tc>
          <w:tcPr>
            <w:tcW w:type="dxa" w:w="1224"/>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Alta</w:t>
            </w:r>
          </w:p>
        </w:tc>
        <w:tc>
          <w:tcPr>
            <w:tcW w:type="dxa" w:w="3096"/>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Saldo, historial e inventario real.</w:t>
            </w:r>
          </w:p>
        </w:tc>
      </w:tr>
      <w:tr>
        <w:trPr>
          <w:cantSplit/>
        </w:trPr>
        <w:tc>
          <w:tcPr>
            <w:tcW w:type="dxa" w:w="1800"/>
            <w:shd w:fill="F4F6FA"/>
            <w:vAlign w:val="center"/>
            <w:tcMar>
              <w:top w:w="70" w:type="dxa"/>
              <w:start w:w="85" w:type="dxa"/>
              <w:bottom w:w="70" w:type="dxa"/>
              <w:end w:w="85" w:type="dxa"/>
            </w:tcMar>
          </w:tcPr>
          <w:p>
            <w:pPr>
              <w:spacing w:after="0" w:line="240" w:lineRule="auto"/>
              <w:jc w:val="left"/>
            </w:pPr>
            <w:r/>
            <w:r>
              <w:rPr>
                <w:rFonts w:ascii="Montserrat" w:hAnsi="Montserrat"/>
                <w:b/>
                <w:color w:val="061B45"/>
                <w:sz w:val="14"/>
              </w:rPr>
              <w:t>Doters</w:t>
            </w:r>
          </w:p>
        </w:tc>
        <w:tc>
          <w:tcPr>
            <w:tcW w:type="dxa" w:w="3816"/>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Coalición, aliados, niveles y redención multicanal.</w:t>
            </w:r>
          </w:p>
        </w:tc>
        <w:tc>
          <w:tcPr>
            <w:tcW w:type="dxa" w:w="1224"/>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Media alta</w:t>
            </w:r>
          </w:p>
        </w:tc>
        <w:tc>
          <w:tcPr>
            <w:tcW w:type="dxa" w:w="3096"/>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Tasas y umbrales dentro de cuenta.</w:t>
            </w:r>
          </w:p>
        </w:tc>
      </w:tr>
      <w:tr>
        <w:trPr>
          <w:cantSplit/>
        </w:trPr>
        <w:tc>
          <w:tcPr>
            <w:tcW w:type="dxa" w:w="1800"/>
            <w:shd w:fill="FFFFFF"/>
            <w:vAlign w:val="center"/>
            <w:tcMar>
              <w:top w:w="70" w:type="dxa"/>
              <w:start w:w="85" w:type="dxa"/>
              <w:bottom w:w="70" w:type="dxa"/>
              <w:end w:w="85" w:type="dxa"/>
            </w:tcMar>
          </w:tcPr>
          <w:p>
            <w:pPr>
              <w:spacing w:after="0" w:line="240" w:lineRule="auto"/>
              <w:jc w:val="left"/>
            </w:pPr>
            <w:r/>
            <w:r>
              <w:rPr>
                <w:rFonts w:ascii="Montserrat" w:hAnsi="Montserrat"/>
                <w:b/>
                <w:color w:val="061B45"/>
                <w:sz w:val="14"/>
              </w:rPr>
              <w:t>Vemo Watts</w:t>
            </w:r>
          </w:p>
        </w:tc>
        <w:tc>
          <w:tcPr>
            <w:tcW w:type="dxa" w:w="3816"/>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Journey EV completo y cashback temporal por invitación.</w:t>
            </w:r>
          </w:p>
        </w:tc>
        <w:tc>
          <w:tcPr>
            <w:tcW w:type="dxa" w:w="1224"/>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Alta</w:t>
            </w:r>
          </w:p>
        </w:tc>
        <w:tc>
          <w:tcPr>
            <w:tcW w:type="dxa" w:w="3096"/>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Elegibilidad, carga, factura y continuidad.</w:t>
            </w:r>
          </w:p>
        </w:tc>
      </w:tr>
      <w:tr>
        <w:trPr>
          <w:cantSplit/>
        </w:trPr>
        <w:tc>
          <w:tcPr>
            <w:tcW w:type="dxa" w:w="1800"/>
            <w:shd w:fill="F4F6FA"/>
            <w:vAlign w:val="center"/>
            <w:tcMar>
              <w:top w:w="70" w:type="dxa"/>
              <w:start w:w="85" w:type="dxa"/>
              <w:bottom w:w="70" w:type="dxa"/>
              <w:end w:w="85" w:type="dxa"/>
            </w:tcMar>
          </w:tcPr>
          <w:p>
            <w:pPr>
              <w:spacing w:after="0" w:line="240" w:lineRule="auto"/>
              <w:jc w:val="left"/>
            </w:pPr>
            <w:r/>
            <w:r>
              <w:rPr>
                <w:rFonts w:ascii="Montserrat" w:hAnsi="Montserrat"/>
                <w:b/>
                <w:color w:val="061B45"/>
                <w:sz w:val="14"/>
              </w:rPr>
              <w:t>Evergo</w:t>
            </w:r>
          </w:p>
        </w:tc>
        <w:tc>
          <w:tcPr>
            <w:tcW w:type="dxa" w:w="3816"/>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Utilidad digital EV sin loyalty vigente observado.</w:t>
            </w:r>
          </w:p>
        </w:tc>
        <w:tc>
          <w:tcPr>
            <w:tcW w:type="dxa" w:w="1224"/>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Media alta</w:t>
            </w:r>
          </w:p>
        </w:tc>
        <w:tc>
          <w:tcPr>
            <w:tcW w:type="dxa" w:w="3096"/>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Wallet, microcargo, QR/RFID y factura.</w:t>
            </w:r>
          </w:p>
        </w:tc>
      </w:tr>
    </w:tbl>
    <w:p>
      <w:pPr>
        <w:widowControl/>
        <w:spacing w:after="0" w:before="0"/>
      </w:pPr>
    </w:p>
    <w:p>
      <w:pPr>
        <w:pStyle w:val="Heading1"/>
        <w:widowControl/>
      </w:pPr>
      <w:r>
        <w:rPr>
          <w:rFonts w:ascii="Montserrat" w:hAnsi="Montserrat"/>
        </w:rPr>
        <w:t>Lectura para dirección</w:t>
      </w:r>
    </w:p>
    <w:p>
      <w:pPr>
        <w:widowControl/>
        <w:spacing w:after="80"/>
      </w:pPr>
      <w:r>
        <w:rPr>
          <w:rFonts w:ascii="Montserrat" w:hAnsi="Montserrat"/>
          <w:color w:val="172033"/>
          <w:sz w:val="18"/>
        </w:rPr>
        <w:t>La comparación ya permite elegir qué capacidades observar y qué journeys probar, sin convertir hipótesis de escritorio en conclusiones definitivas. Las calificaciones internas ayudan a detectar vacíos. Las conclusiones comparativas finales se consolidarán después del Human Lab y de la revisión estratégica.</w:t>
      </w:r>
    </w:p>
    <w:p>
      <w:pPr>
        <w:widowControl/>
      </w:pPr>
      <w:r>
        <w:rPr>
          <w:rFonts w:ascii="Montserrat" w:hAnsi="Montserrat"/>
        </w:rPr>
        <w:br w:type="page"/>
      </w:r>
    </w:p>
    <w:p>
      <w:pPr>
        <w:widowControl/>
        <w:spacing w:after="40"/>
      </w:pPr>
      <w:r>
        <w:rPr>
          <w:rFonts w:ascii="Montserrat" w:hAnsi="Montserrat"/>
          <w:b/>
          <w:color w:val="ED1B2E"/>
          <w:sz w:val="16"/>
        </w:rPr>
        <w:t>05 · CASOS DIRECTOS</w:t>
      </w:r>
    </w:p>
    <w:p>
      <w:pPr>
        <w:pStyle w:val="Title"/>
        <w:widowControl/>
        <w:spacing w:after="80"/>
      </w:pPr>
      <w:r>
        <w:rPr>
          <w:rFonts w:ascii="Montserrat" w:hAnsi="Montserrat"/>
        </w:rPr>
        <w:t>Casos de combustible y conveniencia</w:t>
      </w:r>
    </w:p>
    <w:p>
      <w:pPr>
        <w:pStyle w:val="Subtitle"/>
        <w:widowControl/>
      </w:pPr>
      <w:r>
        <w:rPr>
          <w:rFonts w:ascii="Montserrat" w:hAnsi="Montserrat"/>
        </w:rPr>
        <w:t>Siete referencias cercanas al contexto de AKRON: qué aportan, dónde fallan y qué debe verificarse.</w:t>
      </w:r>
    </w:p>
    <w:p>
      <w:pPr>
        <w:spacing w:after="100"/>
        <w:widowControl/>
        <w:pBdr>
          <w:bottom w:val="single" w:sz="20" w:space="1" w:color="ED1B2E"/>
        </w:pBdr>
      </w:pPr>
    </w:p>
    <w:tbl>
      <w:tblPr>
        <w:tblW w:type="auto" w:w="0"/>
        <w:jc w:val="center"/>
        <w:tblLayout w:type="fixed"/>
        <w:tblLook w:firstColumn="1" w:firstRow="1" w:lastColumn="0" w:lastRow="0" w:noHBand="0" w:noVBand="1" w:val="04A0"/>
        <w:tblBorders>
          <w:top w:val="single" w:sz="5" w:color="D9E0EA"/>
          <w:left w:val="single" w:sz="5" w:color="D9E0EA"/>
          <w:bottom w:val="single" w:sz="5" w:color="D9E0EA"/>
          <w:right w:val="single" w:sz="5" w:color="D9E0EA"/>
          <w:insideH w:val="single" w:sz="5" w:color="D9E0EA"/>
          <w:insideV w:val="single" w:sz="5" w:color="D9E0EA"/>
        </w:tblBorders>
      </w:tblPr>
      <w:tblGrid>
        <w:gridCol w:w="2570"/>
        <w:gridCol w:w="2570"/>
        <w:gridCol w:w="2570"/>
        <w:gridCol w:w="2570"/>
      </w:tblGrid>
      <w:tr>
        <w:trPr>
          <w:cantSplit/>
          <w:tblHeader w:val="true"/>
        </w:trPr>
        <w:tc>
          <w:tcPr>
            <w:tcW w:type="dxa" w:w="1656"/>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4"/>
              </w:rPr>
              <w:t>CASO</w:t>
            </w:r>
          </w:p>
        </w:tc>
        <w:tc>
          <w:tcPr>
            <w:tcW w:type="dxa" w:w="2952"/>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4"/>
              </w:rPr>
              <w:t>MECÁNICA / APORTE</w:t>
            </w:r>
          </w:p>
        </w:tc>
        <w:tc>
          <w:tcPr>
            <w:tcW w:type="dxa" w:w="3168"/>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4"/>
              </w:rPr>
              <w:t>RIESGO PRINCIPAL</w:t>
            </w:r>
          </w:p>
        </w:tc>
        <w:tc>
          <w:tcPr>
            <w:tcW w:type="dxa" w:w="2160"/>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4"/>
              </w:rPr>
              <w:t>VALIDACIÓN</w:t>
            </w:r>
          </w:p>
        </w:tc>
      </w:tr>
      <w:tr>
        <w:trPr>
          <w:cantSplit/>
        </w:trPr>
        <w:tc>
          <w:tcPr>
            <w:tcW w:type="dxa" w:w="1656"/>
            <w:shd w:fill="FFFFFF"/>
            <w:vAlign w:val="center"/>
            <w:tcMar>
              <w:top w:w="70" w:type="dxa"/>
              <w:start w:w="85" w:type="dxa"/>
              <w:bottom w:w="70" w:type="dxa"/>
              <w:end w:w="85" w:type="dxa"/>
            </w:tcMar>
          </w:tcPr>
          <w:p>
            <w:pPr>
              <w:spacing w:after="0" w:line="240" w:lineRule="auto"/>
              <w:jc w:val="left"/>
            </w:pPr>
            <w:r/>
            <w:r>
              <w:rPr>
                <w:rFonts w:ascii="Montserrat" w:hAnsi="Montserrat"/>
                <w:b/>
                <w:color w:val="061B45"/>
                <w:sz w:val="14"/>
              </w:rPr>
              <w:t>G500</w:t>
            </w:r>
          </w:p>
        </w:tc>
        <w:tc>
          <w:tcPr>
            <w:tcW w:type="dxa" w:w="295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1 moneda por litro; catálogo, factura y localizador.</w:t>
            </w:r>
          </w:p>
        </w:tc>
        <w:tc>
          <w:tcPr>
            <w:tcW w:type="dxa" w:w="3168"/>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Ticket posterior y abono hasta 5 días; fricción en acreditación.</w:t>
            </w:r>
          </w:p>
        </w:tc>
        <w:tc>
          <w:tcPr>
            <w:tcW w:type="dxa" w:w="2160"/>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Captura, abono, factura y canje.</w:t>
            </w:r>
          </w:p>
        </w:tc>
      </w:tr>
      <w:tr>
        <w:trPr>
          <w:cantSplit/>
        </w:trPr>
        <w:tc>
          <w:tcPr>
            <w:tcW w:type="dxa" w:w="1656"/>
            <w:shd w:fill="F4F6FA"/>
            <w:vAlign w:val="center"/>
            <w:tcMar>
              <w:top w:w="70" w:type="dxa"/>
              <w:start w:w="85" w:type="dxa"/>
              <w:bottom w:w="70" w:type="dxa"/>
              <w:end w:w="85" w:type="dxa"/>
            </w:tcMar>
          </w:tcPr>
          <w:p>
            <w:pPr>
              <w:spacing w:after="0" w:line="240" w:lineRule="auto"/>
              <w:jc w:val="left"/>
            </w:pPr>
            <w:r/>
            <w:r>
              <w:rPr>
                <w:rFonts w:ascii="Montserrat" w:hAnsi="Montserrat"/>
                <w:b/>
                <w:color w:val="061B45"/>
                <w:sz w:val="14"/>
              </w:rPr>
              <w:t>BPme</w:t>
            </w:r>
          </w:p>
        </w:tc>
        <w:tc>
          <w:tcPr>
            <w:tcW w:type="dxa" w:w="295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Puntos para combustible y bonos promocionales.</w:t>
            </w:r>
          </w:p>
        </w:tc>
        <w:tc>
          <w:tcPr>
            <w:tcW w:type="dxa" w:w="3168"/>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Tasa y reglas base no públicas; app y portal fragmentados.</w:t>
            </w:r>
          </w:p>
        </w:tc>
        <w:tc>
          <w:tcPr>
            <w:tcW w:type="dxa" w:w="2160"/>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Cuenta, tasa, vigencia y redención.</w:t>
            </w:r>
          </w:p>
        </w:tc>
      </w:tr>
      <w:tr>
        <w:trPr>
          <w:cantSplit/>
        </w:trPr>
        <w:tc>
          <w:tcPr>
            <w:tcW w:type="dxa" w:w="1656"/>
            <w:shd w:fill="FFFFFF"/>
            <w:vAlign w:val="center"/>
            <w:tcMar>
              <w:top w:w="70" w:type="dxa"/>
              <w:start w:w="85" w:type="dxa"/>
              <w:bottom w:w="70" w:type="dxa"/>
              <w:end w:w="85" w:type="dxa"/>
            </w:tcMar>
          </w:tcPr>
          <w:p>
            <w:pPr>
              <w:spacing w:after="0" w:line="240" w:lineRule="auto"/>
              <w:jc w:val="left"/>
            </w:pPr>
            <w:r/>
            <w:r>
              <w:rPr>
                <w:rFonts w:ascii="Montserrat" w:hAnsi="Montserrat"/>
                <w:b/>
                <w:color w:val="061B45"/>
                <w:sz w:val="14"/>
              </w:rPr>
              <w:t>Sevenly</w:t>
            </w:r>
          </w:p>
        </w:tc>
        <w:tc>
          <w:tcPr>
            <w:tcW w:type="dxa" w:w="295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1% en 7-Eleven y 0.1% en Petro Seven; retos y ofertas.</w:t>
            </w:r>
          </w:p>
        </w:tc>
        <w:tc>
          <w:tcPr>
            <w:tcW w:type="dxa" w:w="3168"/>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Valor bajo en combustible; establecimientos habilitados.</w:t>
            </w:r>
          </w:p>
        </w:tc>
        <w:tc>
          <w:tcPr>
            <w:tcW w:type="dxa" w:w="2160"/>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OTP, cashback, factura y retos en GDL.</w:t>
            </w:r>
          </w:p>
        </w:tc>
      </w:tr>
      <w:tr>
        <w:trPr>
          <w:cantSplit/>
        </w:trPr>
        <w:tc>
          <w:tcPr>
            <w:tcW w:type="dxa" w:w="1656"/>
            <w:shd w:fill="F4F6FA"/>
            <w:vAlign w:val="center"/>
            <w:tcMar>
              <w:top w:w="70" w:type="dxa"/>
              <w:start w:w="85" w:type="dxa"/>
              <w:bottom w:w="70" w:type="dxa"/>
              <w:end w:w="85" w:type="dxa"/>
            </w:tcMar>
          </w:tcPr>
          <w:p>
            <w:pPr>
              <w:spacing w:after="0" w:line="240" w:lineRule="auto"/>
              <w:jc w:val="left"/>
            </w:pPr>
            <w:r/>
            <w:r>
              <w:rPr>
                <w:rFonts w:ascii="Montserrat" w:hAnsi="Montserrat"/>
                <w:b/>
                <w:color w:val="061B45"/>
                <w:sz w:val="14"/>
              </w:rPr>
              <w:t>Spin / OXXO GAS</w:t>
            </w:r>
          </w:p>
        </w:tc>
        <w:tc>
          <w:tcPr>
            <w:tcW w:type="dxa" w:w="295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Puntos, sellos y ecosistema de alta frecuencia.</w:t>
            </w:r>
          </w:p>
        </w:tc>
        <w:tc>
          <w:tcPr>
            <w:tcW w:type="dxa" w:w="3168"/>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Desde mayo 2025 no gana ni usa puntos en gas; comunicación inconsistente.</w:t>
            </w:r>
          </w:p>
        </w:tc>
        <w:tc>
          <w:tcPr>
            <w:tcW w:type="dxa" w:w="2160"/>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Beneficio vigente en estación.</w:t>
            </w:r>
          </w:p>
        </w:tc>
      </w:tr>
      <w:tr>
        <w:trPr>
          <w:cantSplit/>
        </w:trPr>
        <w:tc>
          <w:tcPr>
            <w:tcW w:type="dxa" w:w="1656"/>
            <w:shd w:fill="FFFFFF"/>
            <w:vAlign w:val="center"/>
            <w:tcMar>
              <w:top w:w="70" w:type="dxa"/>
              <w:start w:w="85" w:type="dxa"/>
              <w:bottom w:w="70" w:type="dxa"/>
              <w:end w:w="85" w:type="dxa"/>
            </w:tcMar>
          </w:tcPr>
          <w:p>
            <w:pPr>
              <w:spacing w:after="0" w:line="240" w:lineRule="auto"/>
              <w:jc w:val="left"/>
            </w:pPr>
            <w:r/>
            <w:r>
              <w:rPr>
                <w:rFonts w:ascii="Montserrat" w:hAnsi="Montserrat"/>
                <w:b/>
                <w:color w:val="061B45"/>
                <w:sz w:val="14"/>
              </w:rPr>
              <w:t>Hidrosina</w:t>
            </w:r>
          </w:p>
        </w:tc>
        <w:tc>
          <w:tcPr>
            <w:tcW w:type="dxa" w:w="295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Pago QR, saldo, factura, historial y localizador.</w:t>
            </w:r>
          </w:p>
        </w:tc>
        <w:tc>
          <w:tcPr>
            <w:tcW w:type="dxa" w:w="3168"/>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Economía de reward no visible; Yo Elijo usa términos antiguos.</w:t>
            </w:r>
          </w:p>
        </w:tc>
        <w:tc>
          <w:tcPr>
            <w:tcW w:type="dxa" w:w="2160"/>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Diferenciar Tarjeta Beneficios y Yo Elijo.</w:t>
            </w:r>
          </w:p>
        </w:tc>
      </w:tr>
      <w:tr>
        <w:trPr>
          <w:cantSplit/>
        </w:trPr>
        <w:tc>
          <w:tcPr>
            <w:tcW w:type="dxa" w:w="1656"/>
            <w:shd w:fill="F4F6FA"/>
            <w:vAlign w:val="center"/>
            <w:tcMar>
              <w:top w:w="70" w:type="dxa"/>
              <w:start w:w="85" w:type="dxa"/>
              <w:bottom w:w="70" w:type="dxa"/>
              <w:end w:w="85" w:type="dxa"/>
            </w:tcMar>
          </w:tcPr>
          <w:p>
            <w:pPr>
              <w:spacing w:after="0" w:line="240" w:lineRule="auto"/>
              <w:jc w:val="left"/>
            </w:pPr>
            <w:r/>
            <w:r>
              <w:rPr>
                <w:rFonts w:ascii="Montserrat" w:hAnsi="Montserrat"/>
                <w:b/>
                <w:color w:val="061B45"/>
                <w:sz w:val="14"/>
              </w:rPr>
              <w:t>Rendipuntos</w:t>
            </w:r>
          </w:p>
        </w:tc>
        <w:tc>
          <w:tcPr>
            <w:tcW w:type="dxa" w:w="295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Canje por litros, productos y beneficios locales.</w:t>
            </w:r>
          </w:p>
        </w:tc>
        <w:tc>
          <w:tcPr>
            <w:tcW w:type="dxa" w:w="3168"/>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Tasa ambigua; canje exige parte pagada; vencimiento 6 meses.</w:t>
            </w:r>
          </w:p>
        </w:tc>
        <w:tc>
          <w:tcPr>
            <w:tcW w:type="dxa" w:w="2160"/>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Ticket, tasa real y restricción.</w:t>
            </w:r>
          </w:p>
        </w:tc>
      </w:tr>
      <w:tr>
        <w:trPr>
          <w:cantSplit/>
        </w:trPr>
        <w:tc>
          <w:tcPr>
            <w:tcW w:type="dxa" w:w="1656"/>
            <w:shd w:fill="FFFFFF"/>
            <w:vAlign w:val="center"/>
            <w:tcMar>
              <w:top w:w="70" w:type="dxa"/>
              <w:start w:w="85" w:type="dxa"/>
              <w:bottom w:w="70" w:type="dxa"/>
              <w:end w:w="85" w:type="dxa"/>
            </w:tcMar>
          </w:tcPr>
          <w:p>
            <w:pPr>
              <w:spacing w:after="0" w:line="240" w:lineRule="auto"/>
              <w:jc w:val="left"/>
            </w:pPr>
            <w:r/>
            <w:r>
              <w:rPr>
                <w:rFonts w:ascii="Montserrat" w:hAnsi="Montserrat"/>
                <w:b/>
                <w:color w:val="061B45"/>
                <w:sz w:val="14"/>
              </w:rPr>
              <w:t>Mobil</w:t>
            </w:r>
          </w:p>
        </w:tc>
        <w:tc>
          <w:tcPr>
            <w:tcW w:type="dxa" w:w="295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Check-ins por cargas ≥ $250; metas y premios de gasolina.</w:t>
            </w:r>
          </w:p>
        </w:tc>
        <w:tc>
          <w:tcPr>
            <w:tcW w:type="dxa" w:w="3168"/>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Dependencia del operador e inventario al redimir.</w:t>
            </w:r>
          </w:p>
        </w:tc>
        <w:tc>
          <w:tcPr>
            <w:tcW w:type="dxa" w:w="2160"/>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Dos estaciones, acreditación y disponibilidad.</w:t>
            </w:r>
          </w:p>
        </w:tc>
      </w:tr>
    </w:tbl>
    <w:p>
      <w:pPr>
        <w:widowControl/>
        <w:spacing w:after="0" w:before="0"/>
      </w:pPr>
    </w:p>
    <w:p>
      <w:pPr>
        <w:pStyle w:val="Heading1"/>
        <w:widowControl/>
      </w:pPr>
      <w:r>
        <w:rPr>
          <w:rFonts w:ascii="Montserrat" w:hAnsi="Montserrat"/>
        </w:rPr>
        <w:t>Patrón común</w:t>
      </w:r>
    </w:p>
    <w:p>
      <w:pPr>
        <w:widowControl/>
        <w:spacing w:after="80"/>
      </w:pPr>
      <w:r>
        <w:rPr>
          <w:rFonts w:ascii="Montserrat" w:hAnsi="Montserrat"/>
          <w:color w:val="172033"/>
          <w:sz w:val="18"/>
        </w:rPr>
        <w:t>La promesa se rompe cuando el usuario debe perseguir un ticket, un operador, un inventario o una regla que no está visible. Para AKRON, la confiabilidad de acreditación y redención debe ser un criterio de diseño tan importante como el valor económico.</w:t>
      </w:r>
    </w:p>
    <w:p>
      <w:pPr>
        <w:pStyle w:val="Heading1"/>
        <w:widowControl/>
      </w:pPr>
      <w:r>
        <w:rPr>
          <w:rFonts w:ascii="Montserrat" w:hAnsi="Montserrat"/>
        </w:rPr>
        <w:t>Referente más transferible</w:t>
      </w:r>
    </w:p>
    <w:p>
      <w:pPr>
        <w:widowControl/>
        <w:spacing w:after="80"/>
      </w:pPr>
      <w:r>
        <w:rPr>
          <w:rFonts w:ascii="Montserrat" w:hAnsi="Montserrat"/>
          <w:color w:val="172033"/>
          <w:sz w:val="18"/>
        </w:rPr>
        <w:t>Sevenly combina una unidad de valor sencilla con conveniencia, combustible, retos y personalización. Mobil aporta el progreso más claro, pero también la advertencia más fuerte sobre dependencia operativa e inventario.</w:t>
      </w:r>
    </w:p>
    <w:p>
      <w:pPr>
        <w:widowControl/>
      </w:pPr>
      <w:r>
        <w:rPr>
          <w:rFonts w:ascii="Montserrat" w:hAnsi="Montserrat"/>
        </w:rPr>
        <w:br w:type="page"/>
      </w:r>
    </w:p>
    <w:p>
      <w:pPr>
        <w:widowControl/>
        <w:spacing w:after="40"/>
      </w:pPr>
      <w:r>
        <w:rPr>
          <w:rFonts w:ascii="Montserrat" w:hAnsi="Montserrat"/>
          <w:b/>
          <w:color w:val="ED1B2E"/>
          <w:sz w:val="16"/>
        </w:rPr>
        <w:t>06 · EXPANSIÓN</w:t>
      </w:r>
    </w:p>
    <w:p>
      <w:pPr>
        <w:pStyle w:val="Title"/>
        <w:widowControl/>
        <w:spacing w:after="80"/>
      </w:pPr>
      <w:r>
        <w:rPr>
          <w:rFonts w:ascii="Montserrat" w:hAnsi="Montserrat"/>
        </w:rPr>
        <w:t>Referentes adyacentes y electromovilidad</w:t>
      </w:r>
    </w:p>
    <w:p>
      <w:pPr>
        <w:pStyle w:val="Subtitle"/>
        <w:widowControl/>
      </w:pPr>
      <w:r>
        <w:rPr>
          <w:rFonts w:ascii="Montserrat" w:hAnsi="Montserrat"/>
        </w:rPr>
        <w:t>Cinco casos amplían el diseño: hábito, niveles, aliados, pago digital y continuidad de servicio.</w:t>
      </w:r>
    </w:p>
    <w:p>
      <w:pPr>
        <w:spacing w:after="100"/>
        <w:widowControl/>
        <w:pBdr>
          <w:bottom w:val="single" w:sz="20" w:space="1" w:color="ED1B2E"/>
        </w:pBdr>
      </w:pPr>
    </w:p>
    <w:tbl>
      <w:tblPr>
        <w:tblW w:type="auto" w:w="0"/>
        <w:jc w:val="center"/>
        <w:tblLayout w:type="fixed"/>
        <w:tblLook w:firstColumn="1" w:firstRow="1" w:lastColumn="0" w:lastRow="0" w:noHBand="0" w:noVBand="1" w:val="04A0"/>
        <w:tblBorders>
          <w:top w:val="single" w:sz="5" w:color="D9E0EA"/>
          <w:left w:val="single" w:sz="5" w:color="D9E0EA"/>
          <w:bottom w:val="single" w:sz="5" w:color="D9E0EA"/>
          <w:right w:val="single" w:sz="5" w:color="D9E0EA"/>
          <w:insideH w:val="single" w:sz="5" w:color="D9E0EA"/>
          <w:insideV w:val="single" w:sz="5" w:color="D9E0EA"/>
        </w:tblBorders>
      </w:tblPr>
      <w:tblGrid>
        <w:gridCol w:w="2570"/>
        <w:gridCol w:w="2570"/>
        <w:gridCol w:w="2570"/>
        <w:gridCol w:w="2570"/>
      </w:tblGrid>
      <w:tr>
        <w:trPr>
          <w:cantSplit/>
          <w:tblHeader w:val="true"/>
        </w:trPr>
        <w:tc>
          <w:tcPr>
            <w:tcW w:type="dxa" w:w="1944"/>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5"/>
              </w:rPr>
              <w:t>CASO</w:t>
            </w:r>
          </w:p>
        </w:tc>
        <w:tc>
          <w:tcPr>
            <w:tcW w:type="dxa" w:w="3168"/>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5"/>
              </w:rPr>
              <w:t>APRENDIZAJE PRINCIPAL</w:t>
            </w:r>
          </w:p>
        </w:tc>
        <w:tc>
          <w:tcPr>
            <w:tcW w:type="dxa" w:w="2952"/>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5"/>
              </w:rPr>
              <w:t>FRICCIÓN / LÍMITE</w:t>
            </w:r>
          </w:p>
        </w:tc>
        <w:tc>
          <w:tcPr>
            <w:tcW w:type="dxa" w:w="1872"/>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5"/>
              </w:rPr>
              <w:t>USO PARA AKRON</w:t>
            </w:r>
          </w:p>
        </w:tc>
      </w:tr>
      <w:tr>
        <w:trPr>
          <w:cantSplit/>
        </w:trPr>
        <w:tc>
          <w:tcPr>
            <w:tcW w:type="dxa" w:w="1944"/>
            <w:shd w:fill="FFFFFF"/>
            <w:vAlign w:val="center"/>
            <w:tcMar>
              <w:top w:w="70" w:type="dxa"/>
              <w:start w:w="85" w:type="dxa"/>
              <w:bottom w:w="70" w:type="dxa"/>
              <w:end w:w="85" w:type="dxa"/>
            </w:tcMar>
          </w:tcPr>
          <w:p>
            <w:pPr>
              <w:spacing w:after="0" w:line="240" w:lineRule="auto"/>
              <w:jc w:val="left"/>
            </w:pPr>
            <w:r/>
            <w:r>
              <w:rPr>
                <w:rFonts w:ascii="Montserrat" w:hAnsi="Montserrat"/>
                <w:b/>
                <w:color w:val="061B45"/>
                <w:sz w:val="15"/>
              </w:rPr>
              <w:t>Club Cinépolis</w:t>
            </w:r>
          </w:p>
        </w:tc>
        <w:tc>
          <w:tcPr>
            <w:tcW w:type="dxa" w:w="3168"/>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Visitas, puntos, niveles y beneficios experienciales.</w:t>
            </w:r>
          </w:p>
        </w:tc>
        <w:tc>
          <w:tcPr>
            <w:tcW w:type="dxa" w:w="295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Migración digital, compra y cobro pueden fragmentar el journey.</w:t>
            </w:r>
          </w:p>
        </w:tc>
        <w:tc>
          <w:tcPr>
            <w:tcW w:type="dxa" w:w="187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Reconocimiento por frecuencia y experiencias.</w:t>
            </w:r>
          </w:p>
        </w:tc>
      </w:tr>
      <w:tr>
        <w:trPr>
          <w:cantSplit/>
        </w:trPr>
        <w:tc>
          <w:tcPr>
            <w:tcW w:type="dxa" w:w="1944"/>
            <w:shd w:fill="F4F6FA"/>
            <w:vAlign w:val="center"/>
            <w:tcMar>
              <w:top w:w="70" w:type="dxa"/>
              <w:start w:w="85" w:type="dxa"/>
              <w:bottom w:w="70" w:type="dxa"/>
              <w:end w:w="85" w:type="dxa"/>
            </w:tcMar>
          </w:tcPr>
          <w:p>
            <w:pPr>
              <w:spacing w:after="0" w:line="240" w:lineRule="auto"/>
              <w:jc w:val="left"/>
            </w:pPr>
            <w:r/>
            <w:r>
              <w:rPr>
                <w:rFonts w:ascii="Montserrat" w:hAnsi="Montserrat"/>
                <w:b/>
                <w:color w:val="061B45"/>
                <w:sz w:val="15"/>
              </w:rPr>
              <w:t>Starbucks Rewards</w:t>
            </w:r>
          </w:p>
        </w:tc>
        <w:tc>
          <w:tcPr>
            <w:tcW w:type="dxa" w:w="3168"/>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Pago + acumulación + niveles + personalización en un mismo flujo.</w:t>
            </w:r>
          </w:p>
        </w:tc>
        <w:tc>
          <w:tcPr>
            <w:tcW w:type="dxa" w:w="295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Señal negativa reciente en saldo, acceso y estabilidad.</w:t>
            </w:r>
          </w:p>
        </w:tc>
        <w:tc>
          <w:tcPr>
            <w:tcW w:type="dxa" w:w="187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Valor visible y hábito; no copiar complejidad operativa.</w:t>
            </w:r>
          </w:p>
        </w:tc>
      </w:tr>
      <w:tr>
        <w:trPr>
          <w:cantSplit/>
        </w:trPr>
        <w:tc>
          <w:tcPr>
            <w:tcW w:type="dxa" w:w="1944"/>
            <w:shd w:fill="FFFFFF"/>
            <w:vAlign w:val="center"/>
            <w:tcMar>
              <w:top w:w="70" w:type="dxa"/>
              <w:start w:w="85" w:type="dxa"/>
              <w:bottom w:w="70" w:type="dxa"/>
              <w:end w:w="85" w:type="dxa"/>
            </w:tcMar>
          </w:tcPr>
          <w:p>
            <w:pPr>
              <w:spacing w:after="0" w:line="240" w:lineRule="auto"/>
              <w:jc w:val="left"/>
            </w:pPr>
            <w:r/>
            <w:r>
              <w:rPr>
                <w:rFonts w:ascii="Montserrat" w:hAnsi="Montserrat"/>
                <w:b/>
                <w:color w:val="061B45"/>
                <w:sz w:val="15"/>
              </w:rPr>
              <w:t>Doters</w:t>
            </w:r>
          </w:p>
        </w:tc>
        <w:tc>
          <w:tcPr>
            <w:tcW w:type="dxa" w:w="3168"/>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Puntos de uso y de nivel; aliados y flexibilidad de redención.</w:t>
            </w:r>
          </w:p>
        </w:tc>
        <w:tc>
          <w:tcPr>
            <w:tcW w:type="dxa" w:w="295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Disponibilidad y validación pueden dificultar la promesa.</w:t>
            </w:r>
          </w:p>
        </w:tc>
        <w:tc>
          <w:tcPr>
            <w:tcW w:type="dxa" w:w="187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Ecosistema de aliados y progresión aspiracional.</w:t>
            </w:r>
          </w:p>
        </w:tc>
      </w:tr>
      <w:tr>
        <w:trPr>
          <w:cantSplit/>
        </w:trPr>
        <w:tc>
          <w:tcPr>
            <w:tcW w:type="dxa" w:w="1944"/>
            <w:shd w:fill="F4F6FA"/>
            <w:vAlign w:val="center"/>
            <w:tcMar>
              <w:top w:w="70" w:type="dxa"/>
              <w:start w:w="85" w:type="dxa"/>
              <w:bottom w:w="70" w:type="dxa"/>
              <w:end w:w="85" w:type="dxa"/>
            </w:tcMar>
          </w:tcPr>
          <w:p>
            <w:pPr>
              <w:spacing w:after="0" w:line="240" w:lineRule="auto"/>
              <w:jc w:val="left"/>
            </w:pPr>
            <w:r/>
            <w:r>
              <w:rPr>
                <w:rFonts w:ascii="Montserrat" w:hAnsi="Montserrat"/>
                <w:b/>
                <w:color w:val="061B45"/>
                <w:sz w:val="15"/>
              </w:rPr>
              <w:t>Vemo Watts</w:t>
            </w:r>
          </w:p>
        </w:tc>
        <w:tc>
          <w:tcPr>
            <w:tcW w:type="dxa" w:w="3168"/>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Mapa, reserva, QR, pago, factura y +Watts temporal por invitación.</w:t>
            </w:r>
          </w:p>
        </w:tc>
        <w:tc>
          <w:tcPr>
            <w:tcW w:type="dxa" w:w="295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Elegibilidad selectiva, vigencia a noviembre de 2026, red y señal.</w:t>
            </w:r>
          </w:p>
        </w:tc>
        <w:tc>
          <w:tcPr>
            <w:tcW w:type="dxa" w:w="187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Journey EV completo y cashback conductual como piloto.</w:t>
            </w:r>
          </w:p>
        </w:tc>
      </w:tr>
      <w:tr>
        <w:trPr>
          <w:cantSplit/>
        </w:trPr>
        <w:tc>
          <w:tcPr>
            <w:tcW w:type="dxa" w:w="1944"/>
            <w:shd w:fill="FFFFFF"/>
            <w:vAlign w:val="center"/>
            <w:tcMar>
              <w:top w:w="70" w:type="dxa"/>
              <w:start w:w="85" w:type="dxa"/>
              <w:bottom w:w="70" w:type="dxa"/>
              <w:end w:w="85" w:type="dxa"/>
            </w:tcMar>
          </w:tcPr>
          <w:p>
            <w:pPr>
              <w:spacing w:after="0" w:line="240" w:lineRule="auto"/>
              <w:jc w:val="left"/>
            </w:pPr>
            <w:r/>
            <w:r>
              <w:rPr>
                <w:rFonts w:ascii="Montserrat" w:hAnsi="Montserrat"/>
                <w:b/>
                <w:color w:val="061B45"/>
                <w:sz w:val="15"/>
              </w:rPr>
              <w:t>Evergo</w:t>
            </w:r>
          </w:p>
        </w:tc>
        <w:tc>
          <w:tcPr>
            <w:tcW w:type="dxa" w:w="3168"/>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Wallet, reserva, QR o ID, RFID, historial y factura.</w:t>
            </w:r>
          </w:p>
        </w:tc>
        <w:tc>
          <w:tcPr>
            <w:tcW w:type="dxa" w:w="295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Microcargo, fondos, conectividad y cobertura; sin loyalty vigente.</w:t>
            </w:r>
          </w:p>
        </w:tc>
        <w:tc>
          <w:tcPr>
            <w:tcW w:type="dxa" w:w="187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5"/>
              </w:rPr>
              <w:t>Control de utilidad digital EV antes de rewards.</w:t>
            </w:r>
          </w:p>
        </w:tc>
      </w:tr>
    </w:tbl>
    <w:p>
      <w:pPr>
        <w:widowControl/>
        <w:spacing w:after="0" w:before="0"/>
      </w:pPr>
    </w:p>
    <w:p>
      <w:pPr>
        <w:pStyle w:val="Heading1"/>
        <w:widowControl/>
      </w:pPr>
      <w:r>
        <w:rPr>
          <w:rFonts w:ascii="Montserrat" w:hAnsi="Montserrat"/>
        </w:rPr>
        <w:t>Qué cambia para AKRON</w:t>
      </w:r>
    </w:p>
    <w:p>
      <w:pPr>
        <w:widowControl/>
        <w:spacing w:after="80"/>
      </w:pPr>
      <w:r>
        <w:rPr>
          <w:rFonts w:ascii="Montserrat" w:hAnsi="Montserrat"/>
          <w:color w:val="172033"/>
          <w:sz w:val="18"/>
        </w:rPr>
        <w:t>La relación puede comenzar con una utilidad operativa y evolucionar hacia reconocimiento. Vemo permite estudiar un piloto de cashback; Evergo muestra el estándar mínimo de utilidad sin loyalty. En EV, disponibilidad, precio, inicio de sesión, soporte y recuperación forman parte de la experiencia.</w:t>
      </w:r>
    </w:p>
    <w:p>
      <w:pPr>
        <w:pStyle w:val="Heading1"/>
        <w:widowControl/>
      </w:pPr>
      <w:r>
        <w:rPr>
          <w:rFonts w:ascii="Montserrat" w:hAnsi="Montserrat"/>
        </w:rPr>
        <w:t>Dos reglas de diseño</w:t>
      </w:r>
    </w:p>
    <w:p>
      <w:pPr>
        <w:pStyle w:val="ListBullet"/>
        <w:widowControl/>
        <w:spacing w:after="40"/>
        <w:ind w:left="346" w:hanging="173"/>
      </w:pPr>
      <w:r>
        <w:rPr>
          <w:rFonts w:ascii="Montserrat" w:hAnsi="Montserrat"/>
          <w:color w:val="172033"/>
          <w:sz w:val="18"/>
        </w:rPr>
        <w:t>Premiar la confiabilidad y la recuperación, no sólo los litros o kWh comprados.</w:t>
      </w:r>
    </w:p>
    <w:p>
      <w:pPr>
        <w:pStyle w:val="ListBullet"/>
        <w:widowControl/>
        <w:spacing w:after="40"/>
        <w:ind w:left="346" w:hanging="173"/>
      </w:pPr>
      <w:r>
        <w:rPr>
          <w:rFonts w:ascii="Montserrat" w:hAnsi="Montserrat"/>
          <w:color w:val="172033"/>
          <w:sz w:val="18"/>
        </w:rPr>
        <w:t>Mantener una misma identidad, saldo y narrativa entre combustible, EV, lubricantes y servicios.</w:t>
      </w:r>
    </w:p>
    <w:p>
      <w:pPr>
        <w:widowControl/>
      </w:pPr>
      <w:r>
        <w:rPr>
          <w:rFonts w:ascii="Montserrat" w:hAnsi="Montserrat"/>
        </w:rPr>
        <w:br w:type="page"/>
      </w:r>
    </w:p>
    <w:p>
      <w:pPr>
        <w:widowControl/>
        <w:spacing w:after="40"/>
      </w:pPr>
      <w:r>
        <w:rPr>
          <w:rFonts w:ascii="Montserrat" w:hAnsi="Montserrat"/>
          <w:b/>
          <w:color w:val="ED1B2E"/>
          <w:sz w:val="16"/>
        </w:rPr>
        <w:t>07 · VOZ DEL USUARIO</w:t>
      </w:r>
    </w:p>
    <w:p>
      <w:pPr>
        <w:pStyle w:val="Title"/>
        <w:widowControl/>
        <w:spacing w:after="80"/>
      </w:pPr>
      <w:r>
        <w:rPr>
          <w:rFonts w:ascii="Montserrat" w:hAnsi="Montserrat"/>
        </w:rPr>
        <w:t>Señales de 493 reseñas públicas</w:t>
      </w:r>
    </w:p>
    <w:p>
      <w:pPr>
        <w:pStyle w:val="Subtitle"/>
        <w:widowControl/>
      </w:pPr>
      <w:r>
        <w:rPr>
          <w:rFonts w:ascii="Montserrat" w:hAnsi="Montserrat"/>
        </w:rPr>
        <w:t>La muestra supera el mínimo aprobado de 250 y sirve para dirigir pruebas, no para estimar satisfacción poblacional.</w:t>
      </w:r>
    </w:p>
    <w:p>
      <w:pPr>
        <w:spacing w:after="100"/>
        <w:widowControl/>
        <w:pBdr>
          <w:bottom w:val="single" w:sz="20" w:space="1" w:color="ED1B2E"/>
        </w:pBdr>
      </w:pPr>
    </w:p>
    <w:p>
      <w:pPr>
        <w:widowControl/>
        <w:jc w:val="center"/>
      </w:pPr>
      <w:r>
        <w:rPr>
          <w:rFonts w:ascii="Montserrat" w:hAnsi="Montserrat"/>
        </w:rPr>
        <w:drawing>
          <wp:inline xmlns:a="http://schemas.openxmlformats.org/drawingml/2006/main" xmlns:pic="http://schemas.openxmlformats.org/drawingml/2006/picture">
            <wp:extent cx="6355080" cy="2542032"/>
            <wp:docPr id="1" name="Picture 1"/>
            <wp:cNvGraphicFramePr>
              <a:graphicFrameLocks noChangeAspect="1"/>
            </wp:cNvGraphicFramePr>
            <a:graphic>
              <a:graphicData uri="http://schemas.openxmlformats.org/drawingml/2006/picture">
                <pic:pic>
                  <pic:nvPicPr>
                    <pic:cNvPr id="0" name="review_themes.png"/>
                    <pic:cNvPicPr/>
                  </pic:nvPicPr>
                  <pic:blipFill>
                    <a:blip r:embed="rId11"/>
                    <a:stretch>
                      <a:fillRect/>
                    </a:stretch>
                  </pic:blipFill>
                  <pic:spPr>
                    <a:xfrm>
                      <a:off x="0" y="0"/>
                      <a:ext cx="6355080" cy="2542032"/>
                    </a:xfrm>
                    <a:prstGeom prst="rect"/>
                  </pic:spPr>
                </pic:pic>
              </a:graphicData>
            </a:graphic>
          </wp:inline>
        </w:drawing>
      </w:r>
    </w:p>
    <w:tbl>
      <w:tblPr>
        <w:tblW w:type="auto" w:w="0"/>
        <w:jc w:val="center"/>
        <w:tblLayout w:type="fixed"/>
        <w:tblLook w:firstColumn="1" w:firstRow="1" w:lastColumn="0" w:lastRow="0" w:noHBand="0" w:noVBand="1" w:val="04A0"/>
        <w:tblBorders>
          <w:top w:val="single" w:sz="5" w:color="D9E0EA"/>
          <w:left w:val="single" w:sz="5" w:color="D9E0EA"/>
          <w:bottom w:val="single" w:sz="5" w:color="D9E0EA"/>
          <w:right w:val="single" w:sz="5" w:color="D9E0EA"/>
          <w:insideH w:val="single" w:sz="5" w:color="D9E0EA"/>
          <w:insideV w:val="single" w:sz="5" w:color="D9E0EA"/>
        </w:tblBorders>
      </w:tblPr>
      <w:tblGrid>
        <w:gridCol w:w="2570"/>
        <w:gridCol w:w="2570"/>
        <w:gridCol w:w="2570"/>
        <w:gridCol w:w="2570"/>
      </w:tblGrid>
      <w:tr>
        <w:tc>
          <w:tcPr>
            <w:tcW w:type="dxa" w:w="2520"/>
            <w:shd w:fill="F4F6FA"/>
            <w:tcMar>
              <w:top w:w="90" w:type="dxa"/>
              <w:start w:w="75" w:type="dxa"/>
              <w:bottom w:w="90" w:type="dxa"/>
              <w:end w:w="75" w:type="dxa"/>
            </w:tcMar>
          </w:tcPr>
          <w:p>
            <w:pPr>
              <w:spacing w:after="20"/>
              <w:jc w:val="center"/>
            </w:pPr>
            <w:r/>
            <w:r>
              <w:rPr>
                <w:rFonts w:ascii="Montserrat" w:hAnsi="Montserrat"/>
                <w:b/>
                <w:color w:val="ED1B2E"/>
                <w:sz w:val="36"/>
              </w:rPr>
              <w:t>278</w:t>
            </w:r>
          </w:p>
          <w:p>
            <w:pPr>
              <w:spacing w:after="0"/>
              <w:jc w:val="center"/>
            </w:pPr>
            <w:r>
              <w:rPr>
                <w:rFonts w:ascii="Montserrat" w:hAnsi="Montserrat"/>
                <w:b/>
                <w:color w:val="6E7C96"/>
                <w:sz w:val="15"/>
              </w:rPr>
              <w:t>NEGATIVAS</w:t>
            </w:r>
          </w:p>
        </w:tc>
        <w:tc>
          <w:tcPr>
            <w:tcW w:type="dxa" w:w="2520"/>
            <w:shd w:fill="F4F6FA"/>
            <w:tcMar>
              <w:top w:w="90" w:type="dxa"/>
              <w:start w:w="75" w:type="dxa"/>
              <w:bottom w:w="90" w:type="dxa"/>
              <w:end w:w="75" w:type="dxa"/>
            </w:tcMar>
          </w:tcPr>
          <w:p>
            <w:pPr>
              <w:spacing w:after="20"/>
              <w:jc w:val="center"/>
            </w:pPr>
            <w:r/>
            <w:r>
              <w:rPr>
                <w:rFonts w:ascii="Montserrat" w:hAnsi="Montserrat"/>
                <w:b/>
                <w:color w:val="061B45"/>
                <w:sz w:val="36"/>
              </w:rPr>
              <w:t>26</w:t>
            </w:r>
          </w:p>
          <w:p>
            <w:pPr>
              <w:spacing w:after="0"/>
              <w:jc w:val="center"/>
            </w:pPr>
            <w:r>
              <w:rPr>
                <w:rFonts w:ascii="Montserrat" w:hAnsi="Montserrat"/>
                <w:b/>
                <w:color w:val="6E7C96"/>
                <w:sz w:val="15"/>
              </w:rPr>
              <w:t>MIXTAS / NEUTRALES</w:t>
            </w:r>
          </w:p>
        </w:tc>
        <w:tc>
          <w:tcPr>
            <w:tcW w:type="dxa" w:w="2520"/>
            <w:shd w:fill="F4F6FA"/>
            <w:tcMar>
              <w:top w:w="90" w:type="dxa"/>
              <w:start w:w="75" w:type="dxa"/>
              <w:bottom w:w="90" w:type="dxa"/>
              <w:end w:w="75" w:type="dxa"/>
            </w:tcMar>
          </w:tcPr>
          <w:p>
            <w:pPr>
              <w:spacing w:after="20"/>
              <w:jc w:val="center"/>
            </w:pPr>
            <w:r/>
            <w:r>
              <w:rPr>
                <w:rFonts w:ascii="Montserrat" w:hAnsi="Montserrat"/>
                <w:b/>
                <w:color w:val="061B45"/>
                <w:sz w:val="36"/>
              </w:rPr>
              <w:t>189</w:t>
            </w:r>
          </w:p>
          <w:p>
            <w:pPr>
              <w:spacing w:after="0"/>
              <w:jc w:val="center"/>
            </w:pPr>
            <w:r>
              <w:rPr>
                <w:rFonts w:ascii="Montserrat" w:hAnsi="Montserrat"/>
                <w:b/>
                <w:color w:val="6E7C96"/>
                <w:sz w:val="15"/>
              </w:rPr>
              <w:t>POSITIVAS</w:t>
            </w:r>
          </w:p>
        </w:tc>
        <w:tc>
          <w:tcPr>
            <w:tcW w:type="dxa" w:w="2520"/>
            <w:shd w:fill="F4F6FA"/>
            <w:tcMar>
              <w:top w:w="90" w:type="dxa"/>
              <w:start w:w="75" w:type="dxa"/>
              <w:bottom w:w="90" w:type="dxa"/>
              <w:end w:w="75" w:type="dxa"/>
            </w:tcMar>
          </w:tcPr>
          <w:p>
            <w:pPr>
              <w:spacing w:after="20"/>
              <w:jc w:val="center"/>
            </w:pPr>
            <w:r/>
            <w:r>
              <w:rPr>
                <w:rFonts w:ascii="Montserrat" w:hAnsi="Montserrat"/>
                <w:b/>
                <w:color w:val="061B45"/>
                <w:sz w:val="36"/>
              </w:rPr>
              <w:t>56.4%</w:t>
            </w:r>
          </w:p>
          <w:p>
            <w:pPr>
              <w:spacing w:after="0"/>
              <w:jc w:val="center"/>
            </w:pPr>
            <w:r>
              <w:rPr>
                <w:rFonts w:ascii="Montserrat" w:hAnsi="Montserrat"/>
                <w:b/>
                <w:color w:val="6E7C96"/>
                <w:sz w:val="15"/>
              </w:rPr>
              <w:t>1–2 ESTRELLAS</w:t>
            </w:r>
          </w:p>
        </w:tc>
      </w:tr>
    </w:tbl>
    <w:p>
      <w:pPr>
        <w:widowControl/>
        <w:spacing w:after="0"/>
      </w:pPr>
    </w:p>
    <w:p>
      <w:pPr>
        <w:pStyle w:val="Heading1"/>
        <w:widowControl/>
      </w:pPr>
      <w:r>
        <w:rPr>
          <w:rFonts w:ascii="Montserrat" w:hAnsi="Montserrat"/>
        </w:rPr>
        <w:t>Qué debemos corroborar</w:t>
      </w:r>
    </w:p>
    <w:p>
      <w:pPr>
        <w:pStyle w:val="ListBullet"/>
        <w:widowControl/>
        <w:spacing w:after="40"/>
        <w:ind w:left="346" w:hanging="173"/>
      </w:pPr>
      <w:r>
        <w:rPr>
          <w:rFonts w:ascii="Montserrat" w:hAnsi="Montserrat"/>
          <w:color w:val="172033"/>
          <w:sz w:val="18"/>
        </w:rPr>
        <w:t>Estabilidad, tiempos de carga y bloqueo al iniciar sesión.</w:t>
      </w:r>
    </w:p>
    <w:p>
      <w:pPr>
        <w:pStyle w:val="ListBullet"/>
        <w:widowControl/>
        <w:spacing w:after="40"/>
        <w:ind w:left="346" w:hanging="173"/>
      </w:pPr>
      <w:r>
        <w:rPr>
          <w:rFonts w:ascii="Montserrat" w:hAnsi="Montserrat"/>
          <w:color w:val="172033"/>
          <w:sz w:val="18"/>
        </w:rPr>
        <w:t>Continuidad de journeys: registro, compra, acreditación, factura, pago y redención.</w:t>
      </w:r>
    </w:p>
    <w:p>
      <w:pPr>
        <w:pStyle w:val="ListBullet"/>
        <w:widowControl/>
        <w:spacing w:after="40"/>
        <w:ind w:left="346" w:hanging="173"/>
      </w:pPr>
      <w:r>
        <w:rPr>
          <w:rFonts w:ascii="Montserrat" w:hAnsi="Montserrat"/>
          <w:color w:val="172033"/>
          <w:sz w:val="18"/>
        </w:rPr>
        <w:t>Explicación de saldo, equivalencia, caducidad y resolución cuando un beneficio no aparece.</w:t>
      </w:r>
    </w:p>
    <w:p>
      <w:pPr>
        <w:pStyle w:val="ListBullet"/>
        <w:widowControl/>
        <w:spacing w:after="40"/>
        <w:ind w:left="346" w:hanging="173"/>
      </w:pPr>
      <w:r>
        <w:rPr>
          <w:rFonts w:ascii="Montserrat" w:hAnsi="Montserrat"/>
          <w:color w:val="172033"/>
          <w:sz w:val="18"/>
        </w:rPr>
        <w:t>Soporte accesible y recuperación sin reiniciar todo el journey.</w:t>
      </w:r>
    </w:p>
    <w:p>
      <w:pPr>
        <w:widowControl/>
        <w:spacing w:after="80"/>
      </w:pPr>
      <w:r>
        <w:rPr>
          <w:rFonts w:ascii="Montserrat" w:hAnsi="Montserrat"/>
          <w:b/>
          <w:color w:val="061B45"/>
          <w:sz w:val="18"/>
        </w:rPr>
        <w:t>Limitación.</w:t>
      </w:r>
      <w:r>
        <w:rPr>
          <w:rFonts w:ascii="Montserrat" w:hAnsi="Montserrat"/>
          <w:color w:val="172033"/>
          <w:sz w:val="18"/>
        </w:rPr>
        <w:t xml:space="preserve"> Se tomó una muestra reciente, anonimizada y deduplicada de Google Play México. No representa a todos los usuarios, no equilibra el volumen histórico de cada app y puede sobre-representar experiencias extremas.</w:t>
      </w:r>
    </w:p>
    <w:p>
      <w:pPr>
        <w:widowControl/>
      </w:pPr>
      <w:r>
        <w:rPr>
          <w:rFonts w:ascii="Montserrat" w:hAnsi="Montserrat"/>
        </w:rPr>
        <w:br w:type="page"/>
      </w:r>
    </w:p>
    <w:p>
      <w:pPr>
        <w:widowControl/>
        <w:spacing w:after="40"/>
      </w:pPr>
      <w:r>
        <w:rPr>
          <w:rFonts w:ascii="Montserrat" w:hAnsi="Montserrat"/>
          <w:b/>
          <w:color w:val="ED1B2E"/>
          <w:sz w:val="16"/>
        </w:rPr>
        <w:t>08 · SÍNTESIS</w:t>
      </w:r>
    </w:p>
    <w:p>
      <w:pPr>
        <w:pStyle w:val="Title"/>
        <w:widowControl/>
        <w:spacing w:after="80"/>
      </w:pPr>
      <w:r>
        <w:rPr>
          <w:rFonts w:ascii="Montserrat" w:hAnsi="Montserrat"/>
        </w:rPr>
        <w:t>Ocho hallazgos que deben guiar el diseño</w:t>
      </w:r>
    </w:p>
    <w:p>
      <w:pPr>
        <w:pStyle w:val="Subtitle"/>
        <w:widowControl/>
      </w:pPr>
      <w:r>
        <w:rPr>
          <w:rFonts w:ascii="Montserrat" w:hAnsi="Montserrat"/>
        </w:rPr>
        <w:t>Los patrones combinan reglas oficiales, funcionalidades observables y señales de reseñas.</w:t>
      </w:r>
    </w:p>
    <w:p>
      <w:pPr>
        <w:spacing w:after="100"/>
        <w:widowControl/>
        <w:pBdr>
          <w:bottom w:val="single" w:sz="20" w:space="1" w:color="ED1B2E"/>
        </w:pBdr>
      </w:pPr>
    </w:p>
    <w:tbl>
      <w:tblPr>
        <w:tblW w:type="auto" w:w="0"/>
        <w:jc w:val="center"/>
        <w:tblLayout w:type="fixed"/>
        <w:tblLook w:firstColumn="1" w:firstRow="1" w:lastColumn="0" w:lastRow="0" w:noHBand="0" w:noVBand="1" w:val="04A0"/>
        <w:tblBorders>
          <w:top w:val="single" w:sz="5" w:color="D9E0EA"/>
          <w:left w:val="single" w:sz="5" w:color="D9E0EA"/>
          <w:bottom w:val="single" w:sz="5" w:color="D9E0EA"/>
          <w:right w:val="single" w:sz="5" w:color="D9E0EA"/>
          <w:insideH w:val="single" w:sz="5" w:color="D9E0EA"/>
          <w:insideV w:val="single" w:sz="5" w:color="D9E0EA"/>
        </w:tblBorders>
      </w:tblPr>
      <w:tblGrid>
        <w:gridCol w:w="3427"/>
        <w:gridCol w:w="3427"/>
        <w:gridCol w:w="3427"/>
      </w:tblGrid>
      <w:tr>
        <w:trPr>
          <w:cantSplit/>
          <w:tblHeader w:val="true"/>
        </w:trPr>
        <w:tc>
          <w:tcPr>
            <w:tcW w:type="dxa" w:w="720"/>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6"/>
              </w:rPr>
              <w:t>#</w:t>
            </w:r>
          </w:p>
        </w:tc>
        <w:tc>
          <w:tcPr>
            <w:tcW w:type="dxa" w:w="3816"/>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6"/>
              </w:rPr>
              <w:t>HALLAZGO</w:t>
            </w:r>
          </w:p>
        </w:tc>
        <w:tc>
          <w:tcPr>
            <w:tcW w:type="dxa" w:w="5400"/>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6"/>
              </w:rPr>
              <w:t>IMPLICACIÓN PARA AKRON</w:t>
            </w:r>
          </w:p>
        </w:tc>
      </w:tr>
      <w:tr>
        <w:trPr>
          <w:cantSplit/>
        </w:trPr>
        <w:tc>
          <w:tcPr>
            <w:tcW w:type="dxa" w:w="720"/>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01</w:t>
            </w:r>
          </w:p>
        </w:tc>
        <w:tc>
          <w:tcPr>
            <w:tcW w:type="dxa" w:w="3816"/>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El valor debe entenderse antes de cargar.</w:t>
            </w:r>
          </w:p>
        </w:tc>
        <w:tc>
          <w:tcPr>
            <w:tcW w:type="dxa" w:w="5400"/>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Mostrar equivalencia, vigencia y próxima recompensa en una sola vista.</w:t>
            </w:r>
          </w:p>
        </w:tc>
      </w:tr>
      <w:tr>
        <w:trPr>
          <w:cantSplit/>
        </w:trPr>
        <w:tc>
          <w:tcPr>
            <w:tcW w:type="dxa" w:w="720"/>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02</w:t>
            </w:r>
          </w:p>
        </w:tc>
        <w:tc>
          <w:tcPr>
            <w:tcW w:type="dxa" w:w="3816"/>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La acreditación es parte del producto.</w:t>
            </w:r>
          </w:p>
        </w:tc>
        <w:tc>
          <w:tcPr>
            <w:tcW w:type="dxa" w:w="5400"/>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Automatizar identificación y ofrecer recuperación visible.</w:t>
            </w:r>
          </w:p>
        </w:tc>
      </w:tr>
      <w:tr>
        <w:trPr>
          <w:cantSplit/>
        </w:trPr>
        <w:tc>
          <w:tcPr>
            <w:tcW w:type="dxa" w:w="720"/>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03</w:t>
            </w:r>
          </w:p>
        </w:tc>
        <w:tc>
          <w:tcPr>
            <w:tcW w:type="dxa" w:w="3816"/>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Combustible + conveniencia eleva frecuencia.</w:t>
            </w:r>
          </w:p>
        </w:tc>
        <w:tc>
          <w:tcPr>
            <w:tcW w:type="dxa" w:w="5400"/>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Conectar estación, tienda y servicios con una misma moneda.</w:t>
            </w:r>
          </w:p>
        </w:tc>
      </w:tr>
      <w:tr>
        <w:trPr>
          <w:cantSplit/>
        </w:trPr>
        <w:tc>
          <w:tcPr>
            <w:tcW w:type="dxa" w:w="720"/>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04</w:t>
            </w:r>
          </w:p>
        </w:tc>
        <w:tc>
          <w:tcPr>
            <w:tcW w:type="dxa" w:w="3816"/>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El progreso visible supera al descuento aislado.</w:t>
            </w:r>
          </w:p>
        </w:tc>
        <w:tc>
          <w:tcPr>
            <w:tcW w:type="dxa" w:w="5400"/>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Metas cortas, hitos simples y recompensa disponible.</w:t>
            </w:r>
          </w:p>
        </w:tc>
      </w:tr>
      <w:tr>
        <w:trPr>
          <w:cantSplit/>
        </w:trPr>
        <w:tc>
          <w:tcPr>
            <w:tcW w:type="dxa" w:w="720"/>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05</w:t>
            </w:r>
          </w:p>
        </w:tc>
        <w:tc>
          <w:tcPr>
            <w:tcW w:type="dxa" w:w="3816"/>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Pago y factura son palancas de loyalty.</w:t>
            </w:r>
          </w:p>
        </w:tc>
        <w:tc>
          <w:tcPr>
            <w:tcW w:type="dxa" w:w="5400"/>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Unificar utilidad operativa, historial y recompensa.</w:t>
            </w:r>
          </w:p>
        </w:tc>
      </w:tr>
      <w:tr>
        <w:trPr>
          <w:cantSplit/>
        </w:trPr>
        <w:tc>
          <w:tcPr>
            <w:tcW w:type="dxa" w:w="720"/>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06</w:t>
            </w:r>
          </w:p>
        </w:tc>
        <w:tc>
          <w:tcPr>
            <w:tcW w:type="dxa" w:w="3816"/>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Comunicación desactualizada erosiona confianza.</w:t>
            </w:r>
          </w:p>
        </w:tc>
        <w:tc>
          <w:tcPr>
            <w:tcW w:type="dxa" w:w="5400"/>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Una fuente única de reglas sincronizada en todos los canales.</w:t>
            </w:r>
          </w:p>
        </w:tc>
      </w:tr>
      <w:tr>
        <w:trPr>
          <w:cantSplit/>
        </w:trPr>
        <w:tc>
          <w:tcPr>
            <w:tcW w:type="dxa" w:w="720"/>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07</w:t>
            </w:r>
          </w:p>
        </w:tc>
        <w:tc>
          <w:tcPr>
            <w:tcW w:type="dxa" w:w="3816"/>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EV exige loyalty ligado a confiabilidad.</w:t>
            </w:r>
          </w:p>
        </w:tc>
        <w:tc>
          <w:tcPr>
            <w:tcW w:type="dxa" w:w="5400"/>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Integrar estado, soporte y recuperación; no sólo kWh.</w:t>
            </w:r>
          </w:p>
        </w:tc>
      </w:tr>
      <w:tr>
        <w:trPr>
          <w:cantSplit/>
        </w:trPr>
        <w:tc>
          <w:tcPr>
            <w:tcW w:type="dxa" w:w="720"/>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08</w:t>
            </w:r>
          </w:p>
        </w:tc>
        <w:tc>
          <w:tcPr>
            <w:tcW w:type="dxa" w:w="3816"/>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Las reseñas dirigen pruebas, no definen reglas.</w:t>
            </w:r>
          </w:p>
        </w:tc>
        <w:tc>
          <w:tcPr>
            <w:tcW w:type="dxa" w:w="5400"/>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Priorizar Human Lab y corroborar con evidencia operativa.</w:t>
            </w:r>
          </w:p>
        </w:tc>
      </w:tr>
    </w:tbl>
    <w:p>
      <w:pPr>
        <w:widowControl/>
        <w:spacing w:after="0" w:before="0"/>
      </w:pPr>
    </w:p>
    <w:p>
      <w:pPr>
        <w:pStyle w:val="Heading1"/>
        <w:widowControl/>
      </w:pPr>
      <w:r>
        <w:rPr>
          <w:rFonts w:ascii="Montserrat" w:hAnsi="Montserrat"/>
        </w:rPr>
        <w:t>Principio rector</w:t>
      </w:r>
    </w:p>
    <w:p>
      <w:pPr>
        <w:widowControl/>
        <w:spacing w:after="80"/>
      </w:pPr>
      <w:r>
        <w:rPr>
          <w:rFonts w:ascii="Montserrat" w:hAnsi="Montserrat"/>
          <w:color w:val="172033"/>
          <w:sz w:val="18"/>
        </w:rPr>
        <w:t>La confianza se construye cuando promesa, regla y ejecución coinciden. En el benchmark, las mayores fricciones aparecen justamente cuando una capa dice algo distinto a otra: app vs. términos, saldo vs. transacción, catálogo vs. inventario o mapa vs. disponibilidad real.</w:t>
      </w:r>
    </w:p>
    <w:p>
      <w:pPr>
        <w:pStyle w:val="Heading1"/>
        <w:widowControl/>
      </w:pPr>
      <w:r>
        <w:rPr>
          <w:rFonts w:ascii="Montserrat" w:hAnsi="Montserrat"/>
        </w:rPr>
        <w:t>Oportunidad diferenciadora</w:t>
      </w:r>
    </w:p>
    <w:p>
      <w:pPr>
        <w:widowControl/>
        <w:spacing w:after="80"/>
      </w:pPr>
      <w:r>
        <w:rPr>
          <w:rFonts w:ascii="Montserrat" w:hAnsi="Montserrat"/>
          <w:color w:val="172033"/>
          <w:sz w:val="18"/>
        </w:rPr>
        <w:t>AKRON puede convertir “entendemos tu camino” en una experiencia comprobable: anticipar la necesidad, reconocer el contexto de movilidad y resolver la siguiente acción con claridad, no sólo premiar la compra pasada.</w:t>
      </w:r>
    </w:p>
    <w:p>
      <w:pPr>
        <w:widowControl/>
      </w:pPr>
      <w:r>
        <w:rPr>
          <w:rFonts w:ascii="Montserrat" w:hAnsi="Montserrat"/>
        </w:rPr>
        <w:br w:type="page"/>
      </w:r>
    </w:p>
    <w:p>
      <w:pPr>
        <w:widowControl/>
        <w:spacing w:after="40"/>
      </w:pPr>
      <w:r>
        <w:rPr>
          <w:rFonts w:ascii="Montserrat" w:hAnsi="Montserrat"/>
          <w:b/>
          <w:color w:val="ED1B2E"/>
          <w:sz w:val="16"/>
        </w:rPr>
        <w:t>09 · DECISIONES</w:t>
      </w:r>
    </w:p>
    <w:p>
      <w:pPr>
        <w:pStyle w:val="Title"/>
        <w:widowControl/>
        <w:spacing w:after="80"/>
      </w:pPr>
      <w:r>
        <w:rPr>
          <w:rFonts w:ascii="Montserrat" w:hAnsi="Montserrat"/>
        </w:rPr>
        <w:t>Territorios de oportunidad para AKRON</w:t>
      </w:r>
    </w:p>
    <w:p>
      <w:pPr>
        <w:pStyle w:val="Subtitle"/>
        <w:widowControl/>
      </w:pPr>
      <w:r>
        <w:rPr>
          <w:rFonts w:ascii="Montserrat" w:hAnsi="Montserrat"/>
        </w:rPr>
        <w:t>Cinco frentes ordenan la conversación estratégica sin adelantar todavía la solución final.</w:t>
      </w:r>
    </w:p>
    <w:p>
      <w:pPr>
        <w:spacing w:after="100"/>
        <w:widowControl/>
        <w:pBdr>
          <w:bottom w:val="single" w:sz="20" w:space="1" w:color="ED1B2E"/>
        </w:pBdr>
      </w:pPr>
    </w:p>
    <w:tbl>
      <w:tblPr>
        <w:tblW w:type="auto" w:w="0"/>
        <w:jc w:val="center"/>
        <w:tblLayout w:type="fixed"/>
        <w:tblLook w:firstColumn="1" w:firstRow="1" w:lastColumn="0" w:lastRow="0" w:noHBand="0" w:noVBand="1" w:val="04A0"/>
        <w:tblBorders>
          <w:top w:val="single" w:sz="5" w:color="D9E0EA"/>
          <w:left w:val="single" w:sz="5" w:color="D9E0EA"/>
          <w:bottom w:val="single" w:sz="5" w:color="D9E0EA"/>
          <w:right w:val="single" w:sz="5" w:color="D9E0EA"/>
          <w:insideH w:val="single" w:sz="5" w:color="D9E0EA"/>
          <w:insideV w:val="single" w:sz="5" w:color="D9E0EA"/>
        </w:tblBorders>
      </w:tblPr>
      <w:tblGrid>
        <w:gridCol w:w="3427"/>
        <w:gridCol w:w="3427"/>
        <w:gridCol w:w="3427"/>
      </w:tblGrid>
      <w:tr>
        <w:trPr>
          <w:cantSplit/>
          <w:tblHeader w:val="true"/>
        </w:trPr>
        <w:tc>
          <w:tcPr>
            <w:tcW w:type="dxa" w:w="2232"/>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6"/>
              </w:rPr>
              <w:t>TERRITORIO</w:t>
            </w:r>
          </w:p>
        </w:tc>
        <w:tc>
          <w:tcPr>
            <w:tcW w:type="dxa" w:w="3384"/>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6"/>
              </w:rPr>
              <w:t>QUÉ RESUELVE</w:t>
            </w:r>
          </w:p>
        </w:tc>
        <w:tc>
          <w:tcPr>
            <w:tcW w:type="dxa" w:w="4320"/>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6"/>
              </w:rPr>
              <w:t>QUICK WIN / HIPÓTESIS</w:t>
            </w:r>
          </w:p>
        </w:tc>
      </w:tr>
      <w:tr>
        <w:trPr>
          <w:cantSplit/>
        </w:trPr>
        <w:tc>
          <w:tcPr>
            <w:tcW w:type="dxa" w:w="2232"/>
            <w:shd w:fill="FFFFFF"/>
            <w:vAlign w:val="center"/>
            <w:tcMar>
              <w:top w:w="70" w:type="dxa"/>
              <w:start w:w="85" w:type="dxa"/>
              <w:bottom w:w="70" w:type="dxa"/>
              <w:end w:w="85" w:type="dxa"/>
            </w:tcMar>
          </w:tcPr>
          <w:p>
            <w:pPr>
              <w:spacing w:after="0" w:line="240" w:lineRule="auto"/>
              <w:jc w:val="left"/>
            </w:pPr>
            <w:r/>
            <w:r>
              <w:rPr>
                <w:rFonts w:ascii="Montserrat" w:hAnsi="Montserrat"/>
                <w:b/>
                <w:color w:val="061B45"/>
                <w:sz w:val="16"/>
              </w:rPr>
              <w:t>1 · Identidad sin fricción</w:t>
            </w:r>
          </w:p>
        </w:tc>
        <w:tc>
          <w:tcPr>
            <w:tcW w:type="dxa" w:w="3384"/>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Registro, reconocimiento y continuidad entre canales.</w:t>
            </w:r>
          </w:p>
        </w:tc>
        <w:tc>
          <w:tcPr>
            <w:tcW w:type="dxa" w:w="4320"/>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QR o teléfono único; recuperación guiada; estado visible.</w:t>
            </w:r>
          </w:p>
        </w:tc>
      </w:tr>
      <w:tr>
        <w:trPr>
          <w:cantSplit/>
        </w:trPr>
        <w:tc>
          <w:tcPr>
            <w:tcW w:type="dxa" w:w="2232"/>
            <w:shd w:fill="F4F6FA"/>
            <w:vAlign w:val="center"/>
            <w:tcMar>
              <w:top w:w="70" w:type="dxa"/>
              <w:start w:w="85" w:type="dxa"/>
              <w:bottom w:w="70" w:type="dxa"/>
              <w:end w:w="85" w:type="dxa"/>
            </w:tcMar>
          </w:tcPr>
          <w:p>
            <w:pPr>
              <w:spacing w:after="0" w:line="240" w:lineRule="auto"/>
              <w:jc w:val="left"/>
            </w:pPr>
            <w:r/>
            <w:r>
              <w:rPr>
                <w:rFonts w:ascii="Montserrat" w:hAnsi="Montserrat"/>
                <w:b/>
                <w:color w:val="061B45"/>
                <w:sz w:val="16"/>
              </w:rPr>
              <w:t>2 · Valor transparente</w:t>
            </w:r>
          </w:p>
        </w:tc>
        <w:tc>
          <w:tcPr>
            <w:tcW w:type="dxa" w:w="3384"/>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Confianza en cuánto gano, cuándo vence y cómo uso.</w:t>
            </w:r>
          </w:p>
        </w:tc>
        <w:tc>
          <w:tcPr>
            <w:tcW w:type="dxa" w:w="4320"/>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Simulador o equivalente simple; “siguiente recompensa”.</w:t>
            </w:r>
          </w:p>
        </w:tc>
      </w:tr>
      <w:tr>
        <w:trPr>
          <w:cantSplit/>
        </w:trPr>
        <w:tc>
          <w:tcPr>
            <w:tcW w:type="dxa" w:w="2232"/>
            <w:shd w:fill="FFFFFF"/>
            <w:vAlign w:val="center"/>
            <w:tcMar>
              <w:top w:w="70" w:type="dxa"/>
              <w:start w:w="85" w:type="dxa"/>
              <w:bottom w:w="70" w:type="dxa"/>
              <w:end w:w="85" w:type="dxa"/>
            </w:tcMar>
          </w:tcPr>
          <w:p>
            <w:pPr>
              <w:spacing w:after="0" w:line="240" w:lineRule="auto"/>
              <w:jc w:val="left"/>
            </w:pPr>
            <w:r/>
            <w:r>
              <w:rPr>
                <w:rFonts w:ascii="Montserrat" w:hAnsi="Montserrat"/>
                <w:b/>
                <w:color w:val="061B45"/>
                <w:sz w:val="16"/>
              </w:rPr>
              <w:t>3 · Utilidad cotidiana</w:t>
            </w:r>
          </w:p>
        </w:tc>
        <w:tc>
          <w:tcPr>
            <w:tcW w:type="dxa" w:w="3384"/>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Frecuencia antes de rewards complejos.</w:t>
            </w:r>
          </w:p>
        </w:tc>
        <w:tc>
          <w:tcPr>
            <w:tcW w:type="dxa" w:w="4320"/>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Factura, historial, localizador, promociones y soporte unidos.</w:t>
            </w:r>
          </w:p>
        </w:tc>
      </w:tr>
      <w:tr>
        <w:trPr>
          <w:cantSplit/>
        </w:trPr>
        <w:tc>
          <w:tcPr>
            <w:tcW w:type="dxa" w:w="2232"/>
            <w:shd w:fill="F4F6FA"/>
            <w:vAlign w:val="center"/>
            <w:tcMar>
              <w:top w:w="70" w:type="dxa"/>
              <w:start w:w="85" w:type="dxa"/>
              <w:bottom w:w="70" w:type="dxa"/>
              <w:end w:w="85" w:type="dxa"/>
            </w:tcMar>
          </w:tcPr>
          <w:p>
            <w:pPr>
              <w:spacing w:after="0" w:line="240" w:lineRule="auto"/>
              <w:jc w:val="left"/>
            </w:pPr>
            <w:r/>
            <w:r>
              <w:rPr>
                <w:rFonts w:ascii="Montserrat" w:hAnsi="Montserrat"/>
                <w:b/>
                <w:color w:val="061B45"/>
                <w:sz w:val="16"/>
              </w:rPr>
              <w:t>4 · Progreso y reconocimiento</w:t>
            </w:r>
          </w:p>
        </w:tc>
        <w:tc>
          <w:tcPr>
            <w:tcW w:type="dxa" w:w="3384"/>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Motivación recurrente sin depender de descuentos.</w:t>
            </w:r>
          </w:p>
        </w:tc>
        <w:tc>
          <w:tcPr>
            <w:tcW w:type="dxa" w:w="4320"/>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Metas cortas y beneficios disponibles.</w:t>
            </w:r>
          </w:p>
        </w:tc>
      </w:tr>
      <w:tr>
        <w:trPr>
          <w:cantSplit/>
        </w:trPr>
        <w:tc>
          <w:tcPr>
            <w:tcW w:type="dxa" w:w="2232"/>
            <w:shd w:fill="FFFFFF"/>
            <w:vAlign w:val="center"/>
            <w:tcMar>
              <w:top w:w="70" w:type="dxa"/>
              <w:start w:w="85" w:type="dxa"/>
              <w:bottom w:w="70" w:type="dxa"/>
              <w:end w:w="85" w:type="dxa"/>
            </w:tcMar>
          </w:tcPr>
          <w:p>
            <w:pPr>
              <w:spacing w:after="0" w:line="240" w:lineRule="auto"/>
              <w:jc w:val="left"/>
            </w:pPr>
            <w:r/>
            <w:r>
              <w:rPr>
                <w:rFonts w:ascii="Montserrat" w:hAnsi="Montserrat"/>
                <w:b/>
                <w:color w:val="061B45"/>
                <w:sz w:val="16"/>
              </w:rPr>
              <w:t>5 · Ecosistema de movilidad</w:t>
            </w:r>
          </w:p>
        </w:tc>
        <w:tc>
          <w:tcPr>
            <w:tcW w:type="dxa" w:w="3384"/>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Más ocasiones de uso y datos útiles.</w:t>
            </w:r>
          </w:p>
        </w:tc>
        <w:tc>
          <w:tcPr>
            <w:tcW w:type="dxa" w:w="4320"/>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Combustible, lubricantes, EV, conveniencia y aliados.</w:t>
            </w:r>
          </w:p>
        </w:tc>
      </w:tr>
    </w:tbl>
    <w:p>
      <w:pPr>
        <w:widowControl/>
        <w:spacing w:after="0" w:before="0"/>
      </w:pPr>
    </w:p>
    <w:p>
      <w:pPr>
        <w:pStyle w:val="Heading1"/>
        <w:widowControl/>
      </w:pPr>
      <w:r>
        <w:rPr>
          <w:rFonts w:ascii="Montserrat" w:hAnsi="Montserrat"/>
        </w:rPr>
        <w:t>Guardrails recomendados</w:t>
      </w:r>
    </w:p>
    <w:p>
      <w:pPr>
        <w:pStyle w:val="ListBullet"/>
        <w:widowControl/>
        <w:spacing w:after="40"/>
        <w:ind w:left="346" w:hanging="173"/>
      </w:pPr>
      <w:r>
        <w:rPr>
          <w:rFonts w:ascii="Montserrat" w:hAnsi="Montserrat"/>
          <w:color w:val="172033"/>
          <w:sz w:val="18"/>
        </w:rPr>
        <w:t>No lanzar una recompensa que dependa de inventario no controlado o acreditación manual sin respaldo.</w:t>
      </w:r>
    </w:p>
    <w:p>
      <w:pPr>
        <w:pStyle w:val="ListBullet"/>
        <w:widowControl/>
        <w:spacing w:after="40"/>
        <w:ind w:left="346" w:hanging="173"/>
      </w:pPr>
      <w:r>
        <w:rPr>
          <w:rFonts w:ascii="Montserrat" w:hAnsi="Montserrat"/>
          <w:color w:val="172033"/>
          <w:sz w:val="18"/>
        </w:rPr>
        <w:t>No utilizar más de una unidad de valor sin una conversión inmediata y consistente.</w:t>
      </w:r>
    </w:p>
    <w:p>
      <w:pPr>
        <w:pStyle w:val="ListBullet"/>
        <w:widowControl/>
        <w:spacing w:after="40"/>
        <w:ind w:left="346" w:hanging="173"/>
      </w:pPr>
      <w:r>
        <w:rPr>
          <w:rFonts w:ascii="Montserrat" w:hAnsi="Montserrat"/>
          <w:color w:val="172033"/>
          <w:sz w:val="18"/>
        </w:rPr>
        <w:t>No separar el programa de los journeys que generan hábito: pago, factura, historial, ubicación y soporte.</w:t>
      </w:r>
    </w:p>
    <w:p>
      <w:pPr>
        <w:pStyle w:val="ListBullet"/>
        <w:widowControl/>
        <w:spacing w:after="40"/>
        <w:ind w:left="346" w:hanging="173"/>
      </w:pPr>
      <w:r>
        <w:rPr>
          <w:rFonts w:ascii="Montserrat" w:hAnsi="Montserrat"/>
          <w:color w:val="172033"/>
          <w:sz w:val="18"/>
        </w:rPr>
        <w:t>No convertir una señal de reseñas en verdad sin observar el journey y contrastarlo con una fuente oficial.</w:t>
      </w:r>
    </w:p>
    <w:p>
      <w:pPr>
        <w:pStyle w:val="ListBullet"/>
        <w:widowControl/>
        <w:spacing w:after="40"/>
        <w:ind w:left="346" w:hanging="173"/>
      </w:pPr>
      <w:r>
        <w:rPr>
          <w:rFonts w:ascii="Montserrat" w:hAnsi="Montserrat"/>
          <w:color w:val="172033"/>
          <w:sz w:val="18"/>
        </w:rPr>
        <w:t>Medir incrementalidad y recurrencia desde el piloto; no sólo altas, descargas o puntos emitidos.</w:t>
      </w:r>
    </w:p>
    <w:p>
      <w:pPr>
        <w:pStyle w:val="Heading1"/>
        <w:widowControl/>
      </w:pPr>
      <w:r>
        <w:rPr>
          <w:rFonts w:ascii="Montserrat" w:hAnsi="Montserrat"/>
        </w:rPr>
        <w:t>Decisión que habilita este corte</w:t>
      </w:r>
    </w:p>
    <w:p>
      <w:pPr>
        <w:widowControl/>
        <w:spacing w:after="80"/>
      </w:pPr>
      <w:r>
        <w:rPr>
          <w:rFonts w:ascii="Montserrat" w:hAnsi="Montserrat"/>
          <w:color w:val="172033"/>
          <w:sz w:val="18"/>
        </w:rPr>
        <w:t>El bloque nacional ya permite escoger qué mecánicas merecen prototipo y qué journeys deben entrar al Human Lab. Aún no recomienda una arquitectura final ni una economía definitiva de rewards.</w:t>
      </w:r>
    </w:p>
    <w:p>
      <w:pPr>
        <w:widowControl/>
      </w:pPr>
      <w:r>
        <w:rPr>
          <w:rFonts w:ascii="Montserrat" w:hAnsi="Montserrat"/>
        </w:rPr>
        <w:br w:type="page"/>
      </w:r>
    </w:p>
    <w:p>
      <w:pPr>
        <w:widowControl/>
        <w:spacing w:after="40"/>
      </w:pPr>
      <w:r>
        <w:rPr>
          <w:rFonts w:ascii="Montserrat" w:hAnsi="Montserrat"/>
          <w:b/>
          <w:color w:val="ED1B2E"/>
          <w:sz w:val="16"/>
        </w:rPr>
        <w:t>10 · SIGUIENTE ETAPA</w:t>
      </w:r>
    </w:p>
    <w:p>
      <w:pPr>
        <w:pStyle w:val="Title"/>
        <w:widowControl/>
        <w:spacing w:after="80"/>
      </w:pPr>
      <w:r>
        <w:rPr>
          <w:rFonts w:ascii="Montserrat" w:hAnsi="Montserrat"/>
        </w:rPr>
        <w:t>Transferencia a Human Lab: 10 journeys prioritarios</w:t>
      </w:r>
    </w:p>
    <w:p>
      <w:pPr>
        <w:pStyle w:val="Subtitle"/>
        <w:widowControl/>
      </w:pPr>
      <w:r>
        <w:rPr>
          <w:rFonts w:ascii="Montserrat" w:hAnsi="Montserrat"/>
        </w:rPr>
        <w:t>Validación cualitativa con 4 personas en Guadalajara y 2 en Ciudad de México, ajuste solicitado por AKRON.</w:t>
      </w:r>
    </w:p>
    <w:p>
      <w:pPr>
        <w:spacing w:after="100"/>
        <w:widowControl/>
        <w:pBdr>
          <w:bottom w:val="single" w:sz="20" w:space="1" w:color="ED1B2E"/>
        </w:pBdr>
      </w:pPr>
    </w:p>
    <w:tbl>
      <w:tblPr>
        <w:tblW w:type="auto" w:w="0"/>
        <w:jc w:val="center"/>
        <w:tblLayout w:type="fixed"/>
        <w:tblLook w:firstColumn="1" w:firstRow="1" w:lastColumn="0" w:lastRow="0" w:noHBand="0" w:noVBand="1" w:val="04A0"/>
        <w:tblBorders>
          <w:top w:val="single" w:sz="5" w:color="D9E0EA"/>
          <w:left w:val="single" w:sz="5" w:color="D9E0EA"/>
          <w:bottom w:val="single" w:sz="5" w:color="D9E0EA"/>
          <w:right w:val="single" w:sz="5" w:color="D9E0EA"/>
          <w:insideH w:val="single" w:sz="5" w:color="D9E0EA"/>
          <w:insideV w:val="single" w:sz="5" w:color="D9E0EA"/>
        </w:tblBorders>
      </w:tblPr>
      <w:tblGrid>
        <w:gridCol w:w="2570"/>
        <w:gridCol w:w="2570"/>
        <w:gridCol w:w="2570"/>
        <w:gridCol w:w="2570"/>
      </w:tblGrid>
      <w:tr>
        <w:trPr>
          <w:cantSplit/>
          <w:tblHeader w:val="true"/>
        </w:trPr>
        <w:tc>
          <w:tcPr>
            <w:tcW w:type="dxa" w:w="1123"/>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4"/>
              </w:rPr>
              <w:t>PRIORIDAD</w:t>
            </w:r>
          </w:p>
        </w:tc>
        <w:tc>
          <w:tcPr>
            <w:tcW w:type="dxa" w:w="3096"/>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4"/>
              </w:rPr>
              <w:t>CASO / JOURNEY</w:t>
            </w:r>
          </w:p>
        </w:tc>
        <w:tc>
          <w:tcPr>
            <w:tcW w:type="dxa" w:w="1512"/>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4"/>
              </w:rPr>
              <w:t>PLAZA</w:t>
            </w:r>
          </w:p>
        </w:tc>
        <w:tc>
          <w:tcPr>
            <w:tcW w:type="dxa" w:w="4205"/>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4"/>
              </w:rPr>
              <w:t>QUÉ DEBE CONFIRMAR</w:t>
            </w:r>
          </w:p>
        </w:tc>
      </w:tr>
      <w:tr>
        <w:trPr>
          <w:cantSplit/>
        </w:trPr>
        <w:tc>
          <w:tcPr>
            <w:tcW w:type="dxa" w:w="1123"/>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Crítica</w:t>
            </w:r>
          </w:p>
        </w:tc>
        <w:tc>
          <w:tcPr>
            <w:tcW w:type="dxa" w:w="3096"/>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BPme · alta, acumulación y redención</w:t>
            </w:r>
          </w:p>
        </w:tc>
        <w:tc>
          <w:tcPr>
            <w:tcW w:type="dxa" w:w="151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GDL / CDMX</w:t>
            </w:r>
          </w:p>
        </w:tc>
        <w:tc>
          <w:tcPr>
            <w:tcW w:type="dxa" w:w="4205"/>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Reglas base, identificación, vigencia y redención.</w:t>
            </w:r>
          </w:p>
        </w:tc>
      </w:tr>
      <w:tr>
        <w:trPr>
          <w:cantSplit/>
        </w:trPr>
        <w:tc>
          <w:tcPr>
            <w:tcW w:type="dxa" w:w="1123"/>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Crítica</w:t>
            </w:r>
          </w:p>
        </w:tc>
        <w:tc>
          <w:tcPr>
            <w:tcW w:type="dxa" w:w="3096"/>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Vemo · carga EV completa</w:t>
            </w:r>
          </w:p>
        </w:tc>
        <w:tc>
          <w:tcPr>
            <w:tcW w:type="dxa" w:w="151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GDL</w:t>
            </w:r>
          </w:p>
        </w:tc>
        <w:tc>
          <w:tcPr>
            <w:tcW w:type="dxa" w:w="4205"/>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Mapa, QR, pago, carga, soporte e historial.</w:t>
            </w:r>
          </w:p>
        </w:tc>
      </w:tr>
      <w:tr>
        <w:trPr>
          <w:cantSplit/>
        </w:trPr>
        <w:tc>
          <w:tcPr>
            <w:tcW w:type="dxa" w:w="1123"/>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Crítica</w:t>
            </w:r>
          </w:p>
        </w:tc>
        <w:tc>
          <w:tcPr>
            <w:tcW w:type="dxa" w:w="3096"/>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Evergo · app + RFID</w:t>
            </w:r>
          </w:p>
        </w:tc>
        <w:tc>
          <w:tcPr>
            <w:tcW w:type="dxa" w:w="151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CDMX</w:t>
            </w:r>
          </w:p>
        </w:tc>
        <w:tc>
          <w:tcPr>
            <w:tcW w:type="dxa" w:w="4205"/>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Wallet, microcargo, QR/RFID, factura y soporte.</w:t>
            </w:r>
          </w:p>
        </w:tc>
      </w:tr>
      <w:tr>
        <w:trPr>
          <w:cantSplit/>
        </w:trPr>
        <w:tc>
          <w:tcPr>
            <w:tcW w:type="dxa" w:w="1123"/>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Alta</w:t>
            </w:r>
          </w:p>
        </w:tc>
        <w:tc>
          <w:tcPr>
            <w:tcW w:type="dxa" w:w="3096"/>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G500 · ticket y factura</w:t>
            </w:r>
          </w:p>
        </w:tc>
        <w:tc>
          <w:tcPr>
            <w:tcW w:type="dxa" w:w="151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GDL</w:t>
            </w:r>
          </w:p>
        </w:tc>
        <w:tc>
          <w:tcPr>
            <w:tcW w:type="dxa" w:w="4205"/>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Esfuerzo, errores, abono y recuperación.</w:t>
            </w:r>
          </w:p>
        </w:tc>
      </w:tr>
      <w:tr>
        <w:trPr>
          <w:cantSplit/>
        </w:trPr>
        <w:tc>
          <w:tcPr>
            <w:tcW w:type="dxa" w:w="1123"/>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Alta</w:t>
            </w:r>
          </w:p>
        </w:tc>
        <w:tc>
          <w:tcPr>
            <w:tcW w:type="dxa" w:w="3096"/>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Sevenly · cashback y reto</w:t>
            </w:r>
          </w:p>
        </w:tc>
        <w:tc>
          <w:tcPr>
            <w:tcW w:type="dxa" w:w="151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GDL</w:t>
            </w:r>
          </w:p>
        </w:tc>
        <w:tc>
          <w:tcPr>
            <w:tcW w:type="dxa" w:w="4205"/>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OTP, tasa, factura y disponibilidad.</w:t>
            </w:r>
          </w:p>
        </w:tc>
      </w:tr>
      <w:tr>
        <w:trPr>
          <w:cantSplit/>
        </w:trPr>
        <w:tc>
          <w:tcPr>
            <w:tcW w:type="dxa" w:w="1123"/>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Alta</w:t>
            </w:r>
          </w:p>
        </w:tc>
        <w:tc>
          <w:tcPr>
            <w:tcW w:type="dxa" w:w="3096"/>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Spin · beneficio OXXO GAS</w:t>
            </w:r>
          </w:p>
        </w:tc>
        <w:tc>
          <w:tcPr>
            <w:tcW w:type="dxa" w:w="151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GDL</w:t>
            </w:r>
          </w:p>
        </w:tc>
        <w:tc>
          <w:tcPr>
            <w:tcW w:type="dxa" w:w="4205"/>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Qué queda vigente y cómo se comunica.</w:t>
            </w:r>
          </w:p>
        </w:tc>
      </w:tr>
      <w:tr>
        <w:trPr>
          <w:cantSplit/>
        </w:trPr>
        <w:tc>
          <w:tcPr>
            <w:tcW w:type="dxa" w:w="1123"/>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Alta</w:t>
            </w:r>
          </w:p>
        </w:tc>
        <w:tc>
          <w:tcPr>
            <w:tcW w:type="dxa" w:w="3096"/>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Hidrosina · pago y factura</w:t>
            </w:r>
          </w:p>
        </w:tc>
        <w:tc>
          <w:tcPr>
            <w:tcW w:type="dxa" w:w="151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CDMX</w:t>
            </w:r>
          </w:p>
        </w:tc>
        <w:tc>
          <w:tcPr>
            <w:tcW w:type="dxa" w:w="4205"/>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Diferencia de productos y utilidad real.</w:t>
            </w:r>
          </w:p>
        </w:tc>
      </w:tr>
      <w:tr>
        <w:trPr>
          <w:cantSplit/>
        </w:trPr>
        <w:tc>
          <w:tcPr>
            <w:tcW w:type="dxa" w:w="1123"/>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Alta</w:t>
            </w:r>
          </w:p>
        </w:tc>
        <w:tc>
          <w:tcPr>
            <w:tcW w:type="dxa" w:w="3096"/>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Rendipuntos · tasa y canje</w:t>
            </w:r>
          </w:p>
        </w:tc>
        <w:tc>
          <w:tcPr>
            <w:tcW w:type="dxa" w:w="151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Remoto / CDMX</w:t>
            </w:r>
          </w:p>
        </w:tc>
        <w:tc>
          <w:tcPr>
            <w:tcW w:type="dxa" w:w="4205"/>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Equivalencia, vencimiento y restricción.</w:t>
            </w:r>
          </w:p>
        </w:tc>
      </w:tr>
      <w:tr>
        <w:trPr>
          <w:cantSplit/>
        </w:trPr>
        <w:tc>
          <w:tcPr>
            <w:tcW w:type="dxa" w:w="1123"/>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Alta</w:t>
            </w:r>
          </w:p>
        </w:tc>
        <w:tc>
          <w:tcPr>
            <w:tcW w:type="dxa" w:w="3096"/>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Mobil · check-in y premio</w:t>
            </w:r>
          </w:p>
        </w:tc>
        <w:tc>
          <w:tcPr>
            <w:tcW w:type="dxa" w:w="151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GDL</w:t>
            </w:r>
          </w:p>
        </w:tc>
        <w:tc>
          <w:tcPr>
            <w:tcW w:type="dxa" w:w="4205"/>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Operador, abono e inventario.</w:t>
            </w:r>
          </w:p>
        </w:tc>
      </w:tr>
      <w:tr>
        <w:trPr>
          <w:cantSplit/>
        </w:trPr>
        <w:tc>
          <w:tcPr>
            <w:tcW w:type="dxa" w:w="1123"/>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Media</w:t>
            </w:r>
          </w:p>
        </w:tc>
        <w:tc>
          <w:tcPr>
            <w:tcW w:type="dxa" w:w="3096"/>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Starbucks · flujo integrado</w:t>
            </w:r>
          </w:p>
        </w:tc>
        <w:tc>
          <w:tcPr>
            <w:tcW w:type="dxa" w:w="151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GDL</w:t>
            </w:r>
          </w:p>
        </w:tc>
        <w:tc>
          <w:tcPr>
            <w:tcW w:type="dxa" w:w="4205"/>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4"/>
              </w:rPr>
              <w:t>Principios de pago, hábito y recompensa.</w:t>
            </w:r>
          </w:p>
        </w:tc>
      </w:tr>
    </w:tbl>
    <w:p>
      <w:pPr>
        <w:widowControl/>
        <w:spacing w:after="0" w:before="0"/>
      </w:pPr>
    </w:p>
    <w:p>
      <w:pPr>
        <w:pStyle w:val="Heading1"/>
        <w:widowControl/>
      </w:pPr>
      <w:r>
        <w:rPr>
          <w:rFonts w:ascii="Montserrat" w:hAnsi="Montserrat"/>
        </w:rPr>
        <w:t>Roles y límites</w:t>
      </w:r>
    </w:p>
    <w:p>
      <w:pPr>
        <w:widowControl/>
        <w:spacing w:after="80"/>
      </w:pPr>
      <w:r>
        <w:rPr>
          <w:rFonts w:ascii="Montserrat" w:hAnsi="Montserrat"/>
          <w:color w:val="172033"/>
          <w:sz w:val="18"/>
        </w:rPr>
        <w:t>Thinking Group coordina reclutamiento, sesiones, evidencia y síntesis. Juan entrega el brief y criterios de decisión. AKRON valida, complementa o aprueba; no participa en la operación. No se realizan compras, cargas, facturas o contactos reales sin autorización específica.</w:t>
      </w:r>
    </w:p>
    <w:p>
      <w:pPr>
        <w:pStyle w:val="Heading1"/>
        <w:widowControl/>
      </w:pPr>
      <w:r>
        <w:rPr>
          <w:rFonts w:ascii="Montserrat" w:hAnsi="Montserrat"/>
        </w:rPr>
        <w:t>Salida esperada del siguiente corte</w:t>
      </w:r>
    </w:p>
    <w:p>
      <w:pPr>
        <w:widowControl/>
        <w:spacing w:after="80"/>
      </w:pPr>
      <w:r>
        <w:rPr>
          <w:rFonts w:ascii="Montserrat" w:hAnsi="Montserrat"/>
          <w:color w:val="172033"/>
          <w:sz w:val="18"/>
        </w:rPr>
        <w:t>Benchmark estratégico actualizado con evidencia observada · insights humanos sobre motivaciones y fricciones · recomendaciones accionables organizadas en opportunity map, quick wins y roadmap.</w:t>
      </w:r>
    </w:p>
    <w:p>
      <w:pPr>
        <w:widowControl/>
      </w:pPr>
      <w:r>
        <w:rPr>
          <w:rFonts w:ascii="Montserrat" w:hAnsi="Montserrat"/>
        </w:rPr>
        <w:br w:type="page"/>
      </w:r>
    </w:p>
    <w:p>
      <w:pPr>
        <w:widowControl/>
        <w:spacing w:after="40"/>
      </w:pPr>
      <w:r>
        <w:rPr>
          <w:rFonts w:ascii="Montserrat" w:hAnsi="Montserrat"/>
          <w:b/>
          <w:color w:val="ED1B2E"/>
          <w:sz w:val="16"/>
        </w:rPr>
        <w:t>11 · TRAZABILIDAD</w:t>
      </w:r>
    </w:p>
    <w:p>
      <w:pPr>
        <w:pStyle w:val="Title"/>
        <w:widowControl/>
        <w:spacing w:after="80"/>
      </w:pPr>
      <w:r>
        <w:rPr>
          <w:rFonts w:ascii="Montserrat" w:hAnsi="Montserrat"/>
        </w:rPr>
        <w:t>Fuentes, límites y entregables</w:t>
      </w:r>
    </w:p>
    <w:p>
      <w:pPr>
        <w:pStyle w:val="Subtitle"/>
        <w:widowControl/>
      </w:pPr>
      <w:r>
        <w:rPr>
          <w:rFonts w:ascii="Montserrat" w:hAnsi="Montserrat"/>
        </w:rPr>
        <w:t>El Excel complementario contiene la matriz completa, las 493 reseñas, los registros de fuente y las fórmulas.</w:t>
      </w:r>
    </w:p>
    <w:p>
      <w:pPr>
        <w:spacing w:after="100"/>
        <w:widowControl/>
        <w:pBdr>
          <w:bottom w:val="single" w:sz="20" w:space="1" w:color="ED1B2E"/>
        </w:pBdr>
      </w:pPr>
    </w:p>
    <w:p>
      <w:pPr>
        <w:pStyle w:val="Heading1"/>
        <w:widowControl/>
      </w:pPr>
      <w:r>
        <w:rPr>
          <w:rFonts w:ascii="Montserrat" w:hAnsi="Montserrat"/>
        </w:rPr>
        <w:t>Fuentes oficiales principales</w:t>
      </w:r>
    </w:p>
    <w:tbl>
      <w:tblPr>
        <w:tblW w:type="auto" w:w="0"/>
        <w:jc w:val="center"/>
        <w:tblLayout w:type="fixed"/>
        <w:tblLook w:firstColumn="1" w:firstRow="1" w:lastColumn="0" w:lastRow="0" w:noHBand="0" w:noVBand="1" w:val="04A0"/>
        <w:tblBorders>
          <w:top w:val="single" w:sz="5" w:color="D9E0EA"/>
          <w:left w:val="single" w:sz="5" w:color="D9E0EA"/>
          <w:bottom w:val="single" w:sz="5" w:color="D9E0EA"/>
          <w:right w:val="single" w:sz="5" w:color="D9E0EA"/>
          <w:insideH w:val="single" w:sz="5" w:color="D9E0EA"/>
          <w:insideV w:val="single" w:sz="5" w:color="D9E0EA"/>
        </w:tblBorders>
      </w:tblPr>
      <w:tblGrid>
        <w:gridCol w:w="5141"/>
        <w:gridCol w:w="5141"/>
      </w:tblGrid>
      <w:tr>
        <w:tc>
          <w:tcPr>
            <w:tcW w:type="dxa" w:w="4968"/>
            <w:shd w:fill="FFFFFF"/>
            <w:tcMar>
              <w:top w:w="80" w:type="dxa"/>
              <w:start w:w="90" w:type="dxa"/>
              <w:bottom w:w="80" w:type="dxa"/>
              <w:end w:w="90" w:type="dxa"/>
            </w:tcMar>
          </w:tcPr>
          <w:p>
            <w:pPr>
              <w:spacing w:after="0"/>
            </w:pPr>
            <w:r/>
            <w:hyperlink r:id="rId12">
              <w:r>
                <w:rPr>
                  <w:color w:val="0046A3"/>
                  <w:u w:val="single"/>
                  <w:rFonts w:ascii="Montserrat" w:hAnsi="Montserrat"/>
                </w:rPr>
                <w:t>G500 · términos Mi App</w:t>
              </w:r>
            </w:hyperlink>
          </w:p>
        </w:tc>
        <w:tc>
          <w:tcPr>
            <w:tcW w:type="dxa" w:w="4968"/>
            <w:shd w:fill="FFFFFF"/>
            <w:tcMar>
              <w:top w:w="80" w:type="dxa"/>
              <w:start w:w="90" w:type="dxa"/>
              <w:bottom w:w="80" w:type="dxa"/>
              <w:end w:w="90" w:type="dxa"/>
            </w:tcMar>
          </w:tcPr>
          <w:p>
            <w:pPr>
              <w:spacing w:after="0"/>
            </w:pPr>
            <w:r/>
            <w:hyperlink r:id="rId13">
              <w:r>
                <w:rPr>
                  <w:color w:val="0046A3"/>
                  <w:u w:val="single"/>
                  <w:rFonts w:ascii="Montserrat" w:hAnsi="Montserrat"/>
                </w:rPr>
                <w:t>BP · promociones BPme Rewards</w:t>
              </w:r>
            </w:hyperlink>
          </w:p>
        </w:tc>
      </w:tr>
      <w:tr>
        <w:tc>
          <w:tcPr>
            <w:tcW w:type="dxa" w:w="4968"/>
            <w:shd w:fill="F4F6FA"/>
            <w:tcMar>
              <w:top w:w="80" w:type="dxa"/>
              <w:start w:w="90" w:type="dxa"/>
              <w:bottom w:w="80" w:type="dxa"/>
              <w:end w:w="90" w:type="dxa"/>
            </w:tcMar>
          </w:tcPr>
          <w:p>
            <w:pPr>
              <w:spacing w:after="0"/>
            </w:pPr>
            <w:r/>
            <w:hyperlink r:id="rId14">
              <w:r>
                <w:rPr>
                  <w:color w:val="0046A3"/>
                  <w:u w:val="single"/>
                  <w:rFonts w:ascii="Montserrat" w:hAnsi="Montserrat"/>
                </w:rPr>
                <w:t>Sevenly · términos y privacidad</w:t>
              </w:r>
            </w:hyperlink>
          </w:p>
        </w:tc>
        <w:tc>
          <w:tcPr>
            <w:tcW w:type="dxa" w:w="4968"/>
            <w:shd w:fill="F4F6FA"/>
            <w:tcMar>
              <w:top w:w="80" w:type="dxa"/>
              <w:start w:w="90" w:type="dxa"/>
              <w:bottom w:w="80" w:type="dxa"/>
              <w:end w:w="90" w:type="dxa"/>
            </w:tcMar>
          </w:tcPr>
          <w:p>
            <w:pPr>
              <w:spacing w:after="0"/>
            </w:pPr>
            <w:r/>
            <w:hyperlink r:id="rId15">
              <w:r>
                <w:rPr>
                  <w:color w:val="0046A3"/>
                  <w:u w:val="single"/>
                  <w:rFonts w:ascii="Montserrat" w:hAnsi="Montserrat"/>
                </w:rPr>
                <w:t>Spin Premia · términos OXXO GAS</w:t>
              </w:r>
            </w:hyperlink>
          </w:p>
        </w:tc>
      </w:tr>
      <w:tr>
        <w:tc>
          <w:tcPr>
            <w:tcW w:type="dxa" w:w="4968"/>
            <w:shd w:fill="FFFFFF"/>
            <w:tcMar>
              <w:top w:w="80" w:type="dxa"/>
              <w:start w:w="90" w:type="dxa"/>
              <w:bottom w:w="80" w:type="dxa"/>
              <w:end w:w="90" w:type="dxa"/>
            </w:tcMar>
          </w:tcPr>
          <w:p>
            <w:pPr>
              <w:spacing w:after="0"/>
            </w:pPr>
            <w:r/>
            <w:hyperlink r:id="rId16">
              <w:r>
                <w:rPr>
                  <w:color w:val="0046A3"/>
                  <w:u w:val="single"/>
                  <w:rFonts w:ascii="Montserrat" w:hAnsi="Montserrat"/>
                </w:rPr>
                <w:t>Hidrosina · App Hidrosina</w:t>
              </w:r>
            </w:hyperlink>
          </w:p>
        </w:tc>
        <w:tc>
          <w:tcPr>
            <w:tcW w:type="dxa" w:w="4968"/>
            <w:shd w:fill="FFFFFF"/>
            <w:tcMar>
              <w:top w:w="80" w:type="dxa"/>
              <w:start w:w="90" w:type="dxa"/>
              <w:bottom w:w="80" w:type="dxa"/>
              <w:end w:w="90" w:type="dxa"/>
            </w:tcMar>
          </w:tcPr>
          <w:p>
            <w:pPr>
              <w:spacing w:after="0"/>
            </w:pPr>
            <w:r/>
            <w:hyperlink r:id="rId17">
              <w:r>
                <w:rPr>
                  <w:color w:val="0046A3"/>
                  <w:u w:val="single"/>
                  <w:rFonts w:ascii="Montserrat" w:hAnsi="Montserrat"/>
                </w:rPr>
                <w:t>Rendipuntos · términos</w:t>
              </w:r>
            </w:hyperlink>
          </w:p>
        </w:tc>
      </w:tr>
      <w:tr>
        <w:tc>
          <w:tcPr>
            <w:tcW w:type="dxa" w:w="4968"/>
            <w:shd w:fill="F4F6FA"/>
            <w:tcMar>
              <w:top w:w="80" w:type="dxa"/>
              <w:start w:w="90" w:type="dxa"/>
              <w:bottom w:w="80" w:type="dxa"/>
              <w:end w:w="90" w:type="dxa"/>
            </w:tcMar>
          </w:tcPr>
          <w:p>
            <w:pPr>
              <w:spacing w:after="0"/>
            </w:pPr>
            <w:r/>
            <w:hyperlink r:id="rId18">
              <w:r>
                <w:rPr>
                  <w:color w:val="0046A3"/>
                  <w:u w:val="single"/>
                  <w:rFonts w:ascii="Montserrat" w:hAnsi="Montserrat"/>
                </w:rPr>
                <w:t>Mobil · Reto Mobil</w:t>
              </w:r>
            </w:hyperlink>
          </w:p>
        </w:tc>
        <w:tc>
          <w:tcPr>
            <w:tcW w:type="dxa" w:w="4968"/>
            <w:shd w:fill="F4F6FA"/>
            <w:tcMar>
              <w:top w:w="80" w:type="dxa"/>
              <w:start w:w="90" w:type="dxa"/>
              <w:bottom w:w="80" w:type="dxa"/>
              <w:end w:w="90" w:type="dxa"/>
            </w:tcMar>
          </w:tcPr>
          <w:p>
            <w:pPr>
              <w:spacing w:after="0"/>
            </w:pPr>
            <w:r/>
            <w:hyperlink r:id="rId19">
              <w:r>
                <w:rPr>
                  <w:color w:val="0046A3"/>
                  <w:u w:val="single"/>
                  <w:rFonts w:ascii="Montserrat" w:hAnsi="Montserrat"/>
                </w:rPr>
                <w:t>Cinépolis · términos Club Cinépolis</w:t>
              </w:r>
            </w:hyperlink>
          </w:p>
        </w:tc>
      </w:tr>
      <w:tr>
        <w:tc>
          <w:tcPr>
            <w:tcW w:type="dxa" w:w="4968"/>
            <w:shd w:fill="FFFFFF"/>
            <w:tcMar>
              <w:top w:w="80" w:type="dxa"/>
              <w:start w:w="90" w:type="dxa"/>
              <w:bottom w:w="80" w:type="dxa"/>
              <w:end w:w="90" w:type="dxa"/>
            </w:tcMar>
          </w:tcPr>
          <w:p>
            <w:pPr>
              <w:spacing w:after="0"/>
            </w:pPr>
            <w:r/>
            <w:hyperlink r:id="rId20">
              <w:r>
                <w:rPr>
                  <w:color w:val="0046A3"/>
                  <w:u w:val="single"/>
                  <w:rFonts w:ascii="Montserrat" w:hAnsi="Montserrat"/>
                </w:rPr>
                <w:t>Starbucks Rewards · términos</w:t>
              </w:r>
            </w:hyperlink>
          </w:p>
        </w:tc>
        <w:tc>
          <w:tcPr>
            <w:tcW w:type="dxa" w:w="4968"/>
            <w:shd w:fill="FFFFFF"/>
            <w:tcMar>
              <w:top w:w="80" w:type="dxa"/>
              <w:start w:w="90" w:type="dxa"/>
              <w:bottom w:w="80" w:type="dxa"/>
              <w:end w:w="90" w:type="dxa"/>
            </w:tcMar>
          </w:tcPr>
          <w:p>
            <w:pPr>
              <w:spacing w:after="0"/>
            </w:pPr>
            <w:r/>
            <w:hyperlink r:id="rId21">
              <w:r>
                <w:rPr>
                  <w:color w:val="0046A3"/>
                  <w:u w:val="single"/>
                  <w:rFonts w:ascii="Montserrat" w:hAnsi="Montserrat"/>
                </w:rPr>
                <w:t>Doters · términos</w:t>
              </w:r>
            </w:hyperlink>
          </w:p>
        </w:tc>
      </w:tr>
      <w:tr>
        <w:tc>
          <w:tcPr>
            <w:tcW w:type="dxa" w:w="4968"/>
            <w:shd w:fill="F4F6FA"/>
            <w:tcMar>
              <w:top w:w="80" w:type="dxa"/>
              <w:start w:w="90" w:type="dxa"/>
              <w:bottom w:w="80" w:type="dxa"/>
              <w:end w:w="90" w:type="dxa"/>
            </w:tcMar>
          </w:tcPr>
          <w:p>
            <w:pPr>
              <w:spacing w:after="0"/>
            </w:pPr>
            <w:r/>
            <w:hyperlink r:id="rId22">
              <w:r>
                <w:rPr>
                  <w:color w:val="0046A3"/>
                  <w:u w:val="single"/>
                  <w:rFonts w:ascii="Montserrat" w:hAnsi="Montserrat"/>
                </w:rPr>
                <w:t>Vemo · términos +Watts</w:t>
              </w:r>
            </w:hyperlink>
          </w:p>
        </w:tc>
        <w:tc>
          <w:tcPr>
            <w:tcW w:type="dxa" w:w="4968"/>
            <w:shd w:fill="F4F6FA"/>
            <w:tcMar>
              <w:top w:w="80" w:type="dxa"/>
              <w:start w:w="90" w:type="dxa"/>
              <w:bottom w:w="80" w:type="dxa"/>
              <w:end w:w="90" w:type="dxa"/>
            </w:tcMar>
          </w:tcPr>
          <w:p>
            <w:pPr>
              <w:spacing w:after="0"/>
            </w:pPr>
            <w:r/>
            <w:hyperlink r:id="rId23">
              <w:r>
                <w:rPr>
                  <w:color w:val="0046A3"/>
                  <w:u w:val="single"/>
                  <w:rFonts w:ascii="Montserrat" w:hAnsi="Montserrat"/>
                </w:rPr>
                <w:t>Evergo · FAQ y journey</w:t>
              </w:r>
            </w:hyperlink>
          </w:p>
        </w:tc>
      </w:tr>
    </w:tbl>
    <w:p>
      <w:pPr>
        <w:widowControl/>
        <w:spacing w:after="0"/>
      </w:pPr>
    </w:p>
    <w:p>
      <w:pPr>
        <w:pStyle w:val="Heading1"/>
        <w:widowControl/>
      </w:pPr>
      <w:r>
        <w:rPr>
          <w:rFonts w:ascii="Montserrat" w:hAnsi="Montserrat"/>
        </w:rPr>
        <w:t>Límites del corte</w:t>
      </w:r>
    </w:p>
    <w:p>
      <w:pPr>
        <w:pStyle w:val="ListBullet"/>
        <w:widowControl/>
        <w:spacing w:after="40"/>
        <w:ind w:left="346" w:hanging="173"/>
      </w:pPr>
      <w:r>
        <w:rPr>
          <w:rFonts w:ascii="Montserrat" w:hAnsi="Montserrat"/>
          <w:color w:val="172033"/>
          <w:sz w:val="18"/>
        </w:rPr>
        <w:t>No se realizaron transacciones, canjes, cargas EV ni contactos reales.</w:t>
      </w:r>
    </w:p>
    <w:p>
      <w:pPr>
        <w:pStyle w:val="ListBullet"/>
        <w:widowControl/>
        <w:spacing w:after="40"/>
        <w:ind w:left="346" w:hanging="173"/>
      </w:pPr>
      <w:r>
        <w:rPr>
          <w:rFonts w:ascii="Montserrat" w:hAnsi="Montserrat"/>
          <w:color w:val="172033"/>
          <w:sz w:val="18"/>
        </w:rPr>
        <w:t>BPme, Yo Elijo Hidrosina y la equivalencia de Rendipuntos conservan incertidumbre material.</w:t>
      </w:r>
    </w:p>
    <w:p>
      <w:pPr>
        <w:pStyle w:val="ListBullet"/>
        <w:widowControl/>
        <w:spacing w:after="40"/>
        <w:ind w:left="346" w:hanging="173"/>
      </w:pPr>
      <w:r>
        <w:rPr>
          <w:rFonts w:ascii="Montserrat" w:hAnsi="Montserrat"/>
          <w:color w:val="172033"/>
          <w:sz w:val="18"/>
        </w:rPr>
        <w:t>Las calificaciones técnicas representan desk research con evidencia disponible; no una auditoría de las aplicaciones ni conclusiones comparativas finales.</w:t>
      </w:r>
    </w:p>
    <w:p>
      <w:pPr>
        <w:pStyle w:val="ListBullet"/>
        <w:widowControl/>
        <w:spacing w:after="40"/>
        <w:ind w:left="346" w:hanging="173"/>
      </w:pPr>
      <w:r>
        <w:rPr>
          <w:rFonts w:ascii="Montserrat" w:hAnsi="Montserrat"/>
          <w:color w:val="172033"/>
          <w:sz w:val="18"/>
        </w:rPr>
        <w:t>Las reseñas son una muestra pública reciente y no un estudio cuantitativo representativo.</w:t>
      </w:r>
    </w:p>
    <w:p>
      <w:pPr>
        <w:pStyle w:val="ListBullet"/>
        <w:widowControl/>
        <w:spacing w:after="40"/>
        <w:ind w:left="346" w:hanging="173"/>
      </w:pPr>
      <w:r>
        <w:rPr>
          <w:rFonts w:ascii="Montserrat" w:hAnsi="Montserrat"/>
          <w:color w:val="172033"/>
          <w:sz w:val="18"/>
        </w:rPr>
        <w:t>AKRON App se evaluará como Caso 0 fuera de cualquier comparación competitiva.</w:t>
      </w:r>
    </w:p>
    <w:p>
      <w:pPr>
        <w:pStyle w:val="Heading1"/>
        <w:widowControl/>
      </w:pPr>
      <w:r>
        <w:rPr>
          <w:rFonts w:ascii="Montserrat" w:hAnsi="Montserrat"/>
        </w:rPr>
        <w:t>Continuidad con los entregables aprobados</w:t>
      </w:r>
    </w:p>
    <w:tbl>
      <w:tblPr>
        <w:tblW w:type="auto" w:w="0"/>
        <w:jc w:val="center"/>
        <w:tblLayout w:type="fixed"/>
        <w:tblLook w:firstColumn="1" w:firstRow="1" w:lastColumn="0" w:lastRow="0" w:noHBand="0" w:noVBand="1" w:val="04A0"/>
        <w:tblBorders>
          <w:top w:val="single" w:sz="5" w:color="D9E0EA"/>
          <w:left w:val="single" w:sz="5" w:color="D9E0EA"/>
          <w:bottom w:val="single" w:sz="5" w:color="D9E0EA"/>
          <w:right w:val="single" w:sz="5" w:color="D9E0EA"/>
          <w:insideH w:val="single" w:sz="5" w:color="D9E0EA"/>
          <w:insideV w:val="single" w:sz="5" w:color="D9E0EA"/>
        </w:tblBorders>
      </w:tblPr>
      <w:tblGrid>
        <w:gridCol w:w="5141"/>
        <w:gridCol w:w="5141"/>
      </w:tblGrid>
      <w:tr>
        <w:trPr>
          <w:cantSplit/>
          <w:tblHeader w:val="true"/>
        </w:trPr>
        <w:tc>
          <w:tcPr>
            <w:tcW w:type="dxa" w:w="3024"/>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6"/>
              </w:rPr>
              <w:t>ENTREGABLE</w:t>
            </w:r>
          </w:p>
        </w:tc>
        <w:tc>
          <w:tcPr>
            <w:tcW w:type="dxa" w:w="6912"/>
            <w:shd w:fill="061B45"/>
            <w:vAlign w:val="center"/>
            <w:tcMar>
              <w:top w:w="70" w:type="dxa"/>
              <w:start w:w="85" w:type="dxa"/>
              <w:bottom w:w="70" w:type="dxa"/>
              <w:end w:w="85" w:type="dxa"/>
            </w:tcMar>
          </w:tcPr>
          <w:p>
            <w:pPr>
              <w:spacing w:after="0" w:line="240" w:lineRule="auto"/>
              <w:jc w:val="left"/>
            </w:pPr>
            <w:r/>
            <w:r>
              <w:rPr>
                <w:rFonts w:ascii="Montserrat" w:hAnsi="Montserrat"/>
                <w:b/>
                <w:color w:val="FFFFFF"/>
                <w:sz w:val="16"/>
              </w:rPr>
              <w:t>CONTENIDO</w:t>
            </w:r>
          </w:p>
        </w:tc>
      </w:tr>
      <w:tr>
        <w:trPr>
          <w:cantSplit/>
        </w:trPr>
        <w:tc>
          <w:tcPr>
            <w:tcW w:type="dxa" w:w="3024"/>
            <w:shd w:fill="FFFFFF"/>
            <w:vAlign w:val="center"/>
            <w:tcMar>
              <w:top w:w="70" w:type="dxa"/>
              <w:start w:w="85" w:type="dxa"/>
              <w:bottom w:w="70" w:type="dxa"/>
              <w:end w:w="85" w:type="dxa"/>
            </w:tcMar>
          </w:tcPr>
          <w:p>
            <w:pPr>
              <w:spacing w:after="0" w:line="240" w:lineRule="auto"/>
              <w:jc w:val="left"/>
            </w:pPr>
            <w:r/>
            <w:r>
              <w:rPr>
                <w:rFonts w:ascii="Montserrat" w:hAnsi="Montserrat"/>
                <w:b/>
                <w:color w:val="061B45"/>
                <w:sz w:val="16"/>
              </w:rPr>
              <w:t>Benchmark estratégico</w:t>
            </w:r>
          </w:p>
        </w:tc>
        <w:tc>
          <w:tcPr>
            <w:tcW w:type="dxa" w:w="691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Comparación nacional e internacional, matriz, tendencias y casos relevantes.</w:t>
            </w:r>
          </w:p>
        </w:tc>
      </w:tr>
      <w:tr>
        <w:trPr>
          <w:cantSplit/>
        </w:trPr>
        <w:tc>
          <w:tcPr>
            <w:tcW w:type="dxa" w:w="3024"/>
            <w:shd w:fill="F4F6FA"/>
            <w:vAlign w:val="center"/>
            <w:tcMar>
              <w:top w:w="70" w:type="dxa"/>
              <w:start w:w="85" w:type="dxa"/>
              <w:bottom w:w="70" w:type="dxa"/>
              <w:end w:w="85" w:type="dxa"/>
            </w:tcMar>
          </w:tcPr>
          <w:p>
            <w:pPr>
              <w:spacing w:after="0" w:line="240" w:lineRule="auto"/>
              <w:jc w:val="left"/>
            </w:pPr>
            <w:r/>
            <w:r>
              <w:rPr>
                <w:rFonts w:ascii="Montserrat" w:hAnsi="Montserrat"/>
                <w:b/>
                <w:color w:val="061B45"/>
                <w:sz w:val="16"/>
              </w:rPr>
              <w:t>Insights humanos</w:t>
            </w:r>
          </w:p>
        </w:tc>
        <w:tc>
          <w:tcPr>
            <w:tcW w:type="dxa" w:w="6912"/>
            <w:shd w:fill="F4F6FA"/>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Evidencia del Human Lab, motivaciones, fricciones, usabilidad y comportamiento.</w:t>
            </w:r>
          </w:p>
        </w:tc>
      </w:tr>
      <w:tr>
        <w:trPr>
          <w:cantSplit/>
        </w:trPr>
        <w:tc>
          <w:tcPr>
            <w:tcW w:type="dxa" w:w="3024"/>
            <w:shd w:fill="FFFFFF"/>
            <w:vAlign w:val="center"/>
            <w:tcMar>
              <w:top w:w="70" w:type="dxa"/>
              <w:start w:w="85" w:type="dxa"/>
              <w:bottom w:w="70" w:type="dxa"/>
              <w:end w:w="85" w:type="dxa"/>
            </w:tcMar>
          </w:tcPr>
          <w:p>
            <w:pPr>
              <w:spacing w:after="0" w:line="240" w:lineRule="auto"/>
              <w:jc w:val="left"/>
            </w:pPr>
            <w:r/>
            <w:r>
              <w:rPr>
                <w:rFonts w:ascii="Montserrat" w:hAnsi="Montserrat"/>
                <w:b/>
                <w:color w:val="061B45"/>
                <w:sz w:val="16"/>
              </w:rPr>
              <w:t>Recomendaciones accionables</w:t>
            </w:r>
          </w:p>
        </w:tc>
        <w:tc>
          <w:tcPr>
            <w:tcW w:type="dxa" w:w="6912"/>
            <w:shd w:fill="FFFFFF"/>
            <w:vAlign w:val="center"/>
            <w:tcMar>
              <w:top w:w="70" w:type="dxa"/>
              <w:start w:w="85" w:type="dxa"/>
              <w:bottom w:w="70" w:type="dxa"/>
              <w:end w:w="85" w:type="dxa"/>
            </w:tcMar>
          </w:tcPr>
          <w:p>
            <w:pPr>
              <w:spacing w:after="0" w:line="240" w:lineRule="auto"/>
              <w:jc w:val="left"/>
            </w:pPr>
            <w:r/>
            <w:r>
              <w:rPr>
                <w:rFonts w:ascii="Montserrat" w:hAnsi="Montserrat"/>
                <w:b w:val="0"/>
                <w:color w:val="172033"/>
                <w:sz w:val="16"/>
              </w:rPr>
              <w:t>Opportunity map, quick wins, roadmap y recomendaciones priorizadas.</w:t>
            </w:r>
          </w:p>
        </w:tc>
      </w:tr>
    </w:tbl>
    <w:p>
      <w:pPr>
        <w:widowControl/>
        <w:spacing w:after="0" w:before="0"/>
      </w:pPr>
    </w:p>
    <w:p>
      <w:pPr>
        <w:widowControl/>
        <w:spacing w:after="80"/>
      </w:pPr>
      <w:r>
        <w:rPr>
          <w:rFonts w:ascii="Montserrat" w:hAnsi="Montserrat"/>
          <w:b/>
          <w:color w:val="061B45"/>
          <w:sz w:val="18"/>
        </w:rPr>
        <w:t>Siguiente decisión.</w:t>
      </w:r>
      <w:r>
        <w:rPr>
          <w:rFonts w:ascii="Montserrat" w:hAnsi="Montserrat"/>
          <w:color w:val="172033"/>
          <w:sz w:val="18"/>
        </w:rPr>
        <w:t xml:space="preserve"> Autorizar la ejecución de journeys priorizados y entregar los accesos o condiciones que permitan validar BPme, EV y Caso 0 AKRON.</w:t>
      </w:r>
    </w:p>
    <w:sectPr w:rsidR="00FC693F" w:rsidRPr="0006063C" w:rsidSect="00034616">
      <w:headerReference w:type="default" r:id="rId9"/>
      <w:footerReference w:type="default" r:id="rId10"/>
      <w:pgSz w:w="12240" w:h="15840"/>
      <w:pgMar w:top="893" w:right="979" w:bottom="835" w:left="979" w:header="288"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ayout w:type="fixed"/>
      <w:tblLook w:firstColumn="1" w:firstRow="1" w:lastColumn="0" w:lastRow="0" w:noHBand="0" w:noVBand="1" w:val="04A0"/>
    </w:tblPr>
    <w:tblGrid>
      <w:gridCol w:w="5040"/>
      <w:gridCol w:w="5040"/>
    </w:tblGrid>
    <w:tr>
      <w:tc>
        <w:tcPr>
          <w:tcW w:type="dxa" w:w="9000"/>
          <w:tcMar>
            <w:top w:w="0" w:type="dxa"/>
            <w:start w:w="0" w:type="dxa"/>
            <w:bottom w:w="0" w:type="dxa"/>
            <w:end w:w="0" w:type="dxa"/>
          </w:tcMar>
        </w:tcPr>
        <w:p>
          <w:r>
            <w:rPr>
              <w:rFonts w:ascii="Montserrat" w:hAnsi="Montserrat"/>
              <w:color w:val="6E7C96"/>
              <w:sz w:val="14"/>
            </w:rPr>
            <w:t>AKRON · corte 19 octubre 2026 · uso de proyecto</w:t>
          </w:r>
        </w:p>
      </w:tc>
      <w:tc>
        <w:tcPr>
          <w:tcW w:type="dxa" w:w="1080"/>
          <w:tcMar>
            <w:top w:w="0" w:type="dxa"/>
            <w:start w:w="0" w:type="dxa"/>
            <w:bottom w:w="0" w:type="dxa"/>
            <w:end w:w="0" w:type="dxa"/>
          </w:tcMar>
        </w:tcPr>
        <w:p>
          <w:pPr>
            <w:jc w:val="right"/>
          </w:pPr>
          <w:r>
            <w:rPr>
              <w:rFonts w:ascii="Montserrat" w:hAnsi="Montserrat"/>
              <w:color w:val="6E7C96"/>
              <w:sz w:val="15"/>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fixed"/>
      <w:tblLook w:firstColumn="1" w:firstRow="1" w:lastColumn="0" w:lastRow="0" w:noHBand="0" w:noVBand="1" w:val="04A0"/>
    </w:tblPr>
    <w:tblGrid>
      <w:gridCol w:w="3360"/>
      <w:gridCol w:w="3360"/>
      <w:gridCol w:w="3360"/>
    </w:tblGrid>
    <w:tr>
      <w:tc>
        <w:tcPr>
          <w:tcW w:type="dxa" w:w="2016"/>
          <w:tcMar>
            <w:top w:w="0" w:type="dxa"/>
            <w:start w:w="0" w:type="dxa"/>
            <w:bottom w:w="0" w:type="dxa"/>
            <w:end w:w="0" w:type="dxa"/>
          </w:tcMar>
        </w:tcPr>
        <w:p>
          <w:r>
            <w:drawing>
              <wp:inline xmlns:a="http://schemas.openxmlformats.org/drawingml/2006/main" xmlns:pic="http://schemas.openxmlformats.org/drawingml/2006/picture">
                <wp:extent cx="1024128" cy="296458"/>
                <wp:docPr id="1" name="Picture 1"/>
                <wp:cNvGraphicFramePr>
                  <a:graphicFrameLocks noChangeAspect="1"/>
                </wp:cNvGraphicFramePr>
                <a:graphic>
                  <a:graphicData uri="http://schemas.openxmlformats.org/drawingml/2006/picture">
                    <pic:pic>
                      <pic:nvPicPr>
                        <pic:cNvPr id="0" name="akron-logo.png"/>
                        <pic:cNvPicPr/>
                      </pic:nvPicPr>
                      <pic:blipFill>
                        <a:blip r:embed="rId1"/>
                        <a:stretch>
                          <a:fillRect/>
                        </a:stretch>
                      </pic:blipFill>
                      <pic:spPr>
                        <a:xfrm>
                          <a:off x="0" y="0"/>
                          <a:ext cx="1024128" cy="296458"/>
                        </a:xfrm>
                        <a:prstGeom prst="rect"/>
                      </pic:spPr>
                    </pic:pic>
                  </a:graphicData>
                </a:graphic>
              </wp:inline>
            </w:drawing>
          </w:r>
        </w:p>
      </w:tc>
      <w:tc>
        <w:tcPr>
          <w:tcW w:type="dxa" w:w="5832"/>
          <w:tcMar>
            <w:top w:w="0" w:type="dxa"/>
            <w:start w:w="0" w:type="dxa"/>
            <w:bottom w:w="0" w:type="dxa"/>
            <w:end w:w="0" w:type="dxa"/>
          </w:tcMar>
        </w:tcPr>
        <w:p>
          <w:pPr>
            <w:jc w:val="center"/>
          </w:pPr>
          <w:r>
            <w:rPr>
              <w:rFonts w:ascii="Montserrat" w:hAnsi="Montserrat"/>
              <w:b/>
              <w:color w:val="6E7C96"/>
              <w:sz w:val="14"/>
            </w:rPr>
            <w:t>BENCHMARK NACIONAL · RESEARCH IA</w:t>
          </w:r>
        </w:p>
      </w:tc>
      <w:tc>
        <w:tcPr>
          <w:tcW w:type="dxa" w:w="2232"/>
          <w:tcMar>
            <w:top w:w="0" w:type="dxa"/>
            <w:start w:w="0" w:type="dxa"/>
            <w:bottom w:w="0" w:type="dxa"/>
            <w:end w:w="0" w:type="dxa"/>
          </w:tcMar>
        </w:tcPr>
        <w:p>
          <w:pPr>
            <w:jc w:val="right"/>
          </w:pPr>
          <w:r>
            <w:drawing>
              <wp:inline xmlns:a="http://schemas.openxmlformats.org/drawingml/2006/main" xmlns:pic="http://schemas.openxmlformats.org/drawingml/2006/picture">
                <wp:extent cx="1152144" cy="322600"/>
                <wp:docPr id="2" name="Picture 2"/>
                <wp:cNvGraphicFramePr>
                  <a:graphicFrameLocks noChangeAspect="1"/>
                </wp:cNvGraphicFramePr>
                <a:graphic>
                  <a:graphicData uri="http://schemas.openxmlformats.org/drawingml/2006/picture">
                    <pic:pic>
                      <pic:nvPicPr>
                        <pic:cNvPr id="0" name="tg-logo.png"/>
                        <pic:cNvPicPr/>
                      </pic:nvPicPr>
                      <pic:blipFill>
                        <a:blip r:embed="rId2"/>
                        <a:stretch>
                          <a:fillRect/>
                        </a:stretch>
                      </pic:blipFill>
                      <pic:spPr>
                        <a:xfrm>
                          <a:off x="0" y="0"/>
                          <a:ext cx="1152144" cy="3226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Montserrat" w:hAnsi="Montserrat"/>
      <w:b w:val="0"/>
      <w:color w:val="172033"/>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 w:after="120"/>
      <w:outlineLvl w:val="0"/>
    </w:pPr>
    <w:rPr>
      <w:rFonts w:asciiTheme="majorHAnsi" w:eastAsiaTheme="majorEastAsia" w:hAnsiTheme="majorHAnsi" w:cstheme="majorBidi" w:ascii="Montserrat" w:hAnsi="Montserrat"/>
      <w:b/>
      <w:bCs/>
      <w:color w:val="061B45"/>
      <w:sz w:val="32"/>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Montserrat" w:hAnsi="Montserrat"/>
      <w:b/>
      <w:bCs/>
      <w:color w:val="0046A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ascii="Montserrat" w:hAnsi="Montserrat"/>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Montserrat" w:hAnsi="Montserrat"/>
      <w:b w:val="0"/>
      <w:i/>
      <w:iCs/>
      <w:color w:val="6E7C96"/>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3.png"/><Relationship Id="rId12" Type="http://schemas.openxmlformats.org/officeDocument/2006/relationships/hyperlink" Target="https://g500network.com/mi-app-g500-terminos-y-condiciones/" TargetMode="External"/><Relationship Id="rId13" Type="http://schemas.openxmlformats.org/officeDocument/2006/relationships/hyperlink" Target="https://www.bp.com/es_mx/mexico/home/products-and-services/bpme_rewards/promociones-/promociones-locales-.html" TargetMode="External"/><Relationship Id="rId14" Type="http://schemas.openxmlformats.org/officeDocument/2006/relationships/hyperlink" Target="https://7-eleven.com.mx/nuestra-empresa/aviso-de-privacidad-sevenly/" TargetMode="External"/><Relationship Id="rId15" Type="http://schemas.openxmlformats.org/officeDocument/2006/relationships/hyperlink" Target="https://recompensas.spinpremia.com/tyc-programa-lealtad-SpinPremia-OXXOGAS" TargetMode="External"/><Relationship Id="rId16" Type="http://schemas.openxmlformats.org/officeDocument/2006/relationships/hyperlink" Target="https://www.hidrosina.com.mx/grupo/app-hidrosina/" TargetMode="External"/><Relationship Id="rId17" Type="http://schemas.openxmlformats.org/officeDocument/2006/relationships/hyperlink" Target="https://rendipuntos.com/terminosycondiciones/" TargetMode="External"/><Relationship Id="rId18" Type="http://schemas.openxmlformats.org/officeDocument/2006/relationships/hyperlink" Target="https://www.mobil.com.mx/es-mx/gasolina/retomobil" TargetMode="External"/><Relationship Id="rId19" Type="http://schemas.openxmlformats.org/officeDocument/2006/relationships/hyperlink" Target="https://cinepolis.com/club-cinepolis-id/terminos-condiciones-club-cinepolis" TargetMode="External"/><Relationship Id="rId20" Type="http://schemas.openxmlformats.org/officeDocument/2006/relationships/hyperlink" Target="https://rewards.starbucks.mx/tos/rewards" TargetMode="External"/><Relationship Id="rId21" Type="http://schemas.openxmlformats.org/officeDocument/2006/relationships/hyperlink" Target="https://www.doters.com/legal/tyc" TargetMode="External"/><Relationship Id="rId22" Type="http://schemas.openxmlformats.org/officeDocument/2006/relationships/hyperlink" Target="https://vemovilidad.com/terminos/programa-mas-watts" TargetMode="External"/><Relationship Id="rId23" Type="http://schemas.openxmlformats.org/officeDocument/2006/relationships/hyperlink" Target="https://evergo.com/soporte/preguntas-frecuent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Ejecutivo Research IA — Benchmark Nacional AKRON</dc:title>
  <dc:subject>Benchmark nacional de loyalty, rewards y gamificación</dc:subject>
  <dc:creator>Thinking Group Lab</dc:creator>
  <cp:keywords>AKRON, benchmark, loyalty, rewards, gamificación, research IA</cp:keywords>
  <dc:description>Corte de escritorio con lectura por capacidades; calificaciones técnicas sujetas a Human Lab.</dc:description>
  <cp:lastModifiedBy/>
  <cp:revision>1</cp:revision>
  <dcterms:created xsi:type="dcterms:W3CDTF">2013-12-23T23:15:00Z</dcterms:created>
  <dcterms:modified xsi:type="dcterms:W3CDTF">2013-12-23T23:15:00Z</dcterms:modified>
  <cp:category/>
</cp:coreProperties>
</file>